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CC0D" w14:textId="7E0CFAA3" w:rsidR="008C4269" w:rsidRPr="008C4269" w:rsidRDefault="008C4269" w:rsidP="008C4269">
      <w:pPr>
        <w:shd w:val="clear" w:color="auto" w:fill="17365D"/>
        <w:spacing w:after="200" w:line="276" w:lineRule="auto"/>
        <w:rPr>
          <w:rFonts w:eastAsia="Calibri"/>
          <w:b/>
          <w:sz w:val="40"/>
          <w:szCs w:val="40"/>
        </w:rPr>
      </w:pPr>
      <w:r w:rsidRPr="008C4269">
        <w:rPr>
          <w:rFonts w:eastAsia="Calibri"/>
          <w:b/>
          <w:sz w:val="40"/>
          <w:szCs w:val="40"/>
        </w:rPr>
        <w:t>HARROW COUNCIL</w:t>
      </w:r>
      <w:r w:rsidR="00B35ED0">
        <w:rPr>
          <w:rFonts w:eastAsia="Calibri"/>
          <w:b/>
          <w:sz w:val="40"/>
          <w:szCs w:val="40"/>
        </w:rPr>
        <w:t xml:space="preserve"> </w:t>
      </w:r>
      <w:r w:rsidR="00B35ED0">
        <w:rPr>
          <w:rFonts w:eastAsia="Calibri"/>
        </w:rPr>
        <w:tab/>
      </w:r>
      <w:r w:rsidR="00B35ED0">
        <w:rPr>
          <w:rFonts w:eastAsia="Calibri"/>
        </w:rPr>
        <w:tab/>
      </w:r>
      <w:r w:rsidR="00B35ED0">
        <w:rPr>
          <w:rFonts w:eastAsia="Calibri"/>
        </w:rPr>
        <w:tab/>
      </w:r>
      <w:r w:rsidR="00B35ED0">
        <w:rPr>
          <w:rFonts w:eastAsia="Calibri"/>
        </w:rPr>
        <w:tab/>
      </w:r>
      <w:r w:rsidR="00B35ED0">
        <w:rPr>
          <w:rFonts w:eastAsia="Calibri"/>
        </w:rPr>
        <w:tab/>
      </w:r>
      <w:r w:rsidR="00B35ED0">
        <w:rPr>
          <w:rFonts w:eastAsia="Calibri"/>
          <w:b/>
          <w:sz w:val="40"/>
          <w:szCs w:val="40"/>
        </w:rPr>
        <w:t xml:space="preserve">    Appendix </w:t>
      </w:r>
      <w:r w:rsidR="000521CC">
        <w:rPr>
          <w:rFonts w:eastAsia="Calibri"/>
          <w:b/>
          <w:sz w:val="40"/>
          <w:szCs w:val="40"/>
        </w:rPr>
        <w:t>1</w:t>
      </w:r>
    </w:p>
    <w:p w14:paraId="6294F55F" w14:textId="1A544805" w:rsidR="00C7752C" w:rsidRDefault="008C4269" w:rsidP="008C4269">
      <w:pPr>
        <w:shd w:val="clear" w:color="auto" w:fill="17365D"/>
        <w:spacing w:after="200" w:line="276" w:lineRule="auto"/>
        <w:rPr>
          <w:rFonts w:eastAsia="Calibri"/>
          <w:b/>
          <w:sz w:val="40"/>
          <w:szCs w:val="40"/>
        </w:rPr>
      </w:pPr>
      <w:r>
        <w:rPr>
          <w:rFonts w:eastAsia="Calibri"/>
          <w:b/>
          <w:sz w:val="40"/>
          <w:szCs w:val="40"/>
        </w:rPr>
        <w:t>Corporate Anti-Fraud Team</w:t>
      </w:r>
      <w:r w:rsidR="00836D3C">
        <w:rPr>
          <w:rFonts w:eastAsia="Calibri"/>
          <w:b/>
          <w:sz w:val="40"/>
          <w:szCs w:val="40"/>
        </w:rPr>
        <w:t xml:space="preserve"> Year</w:t>
      </w:r>
      <w:r w:rsidR="00927D89">
        <w:rPr>
          <w:rFonts w:eastAsia="Calibri"/>
          <w:b/>
          <w:sz w:val="40"/>
          <w:szCs w:val="40"/>
        </w:rPr>
        <w:t>-End</w:t>
      </w:r>
      <w:r w:rsidRPr="008C4269">
        <w:rPr>
          <w:rFonts w:eastAsia="Calibri"/>
          <w:b/>
          <w:sz w:val="40"/>
          <w:szCs w:val="40"/>
        </w:rPr>
        <w:t xml:space="preserve"> Report</w:t>
      </w:r>
      <w:r w:rsidR="00ED1538">
        <w:rPr>
          <w:rFonts w:eastAsia="Calibri"/>
          <w:b/>
          <w:sz w:val="40"/>
          <w:szCs w:val="40"/>
        </w:rPr>
        <w:t xml:space="preserve"> </w:t>
      </w:r>
    </w:p>
    <w:p w14:paraId="079637E0" w14:textId="48DE314E" w:rsidR="008C4269" w:rsidRPr="008C4269" w:rsidRDefault="00836D3C" w:rsidP="008C4269">
      <w:pPr>
        <w:shd w:val="clear" w:color="auto" w:fill="17365D"/>
        <w:spacing w:after="200" w:line="276" w:lineRule="auto"/>
        <w:rPr>
          <w:rFonts w:eastAsia="Calibri"/>
          <w:b/>
          <w:sz w:val="40"/>
          <w:szCs w:val="40"/>
        </w:rPr>
      </w:pPr>
      <w:r>
        <w:rPr>
          <w:rFonts w:eastAsia="Calibri"/>
          <w:b/>
          <w:sz w:val="40"/>
          <w:szCs w:val="40"/>
        </w:rPr>
        <w:t>20</w:t>
      </w:r>
      <w:r w:rsidR="0023023C">
        <w:rPr>
          <w:rFonts w:eastAsia="Calibri"/>
          <w:b/>
          <w:sz w:val="40"/>
          <w:szCs w:val="40"/>
        </w:rPr>
        <w:t>2</w:t>
      </w:r>
      <w:r w:rsidR="003F03B0">
        <w:rPr>
          <w:rFonts w:eastAsia="Calibri"/>
          <w:b/>
          <w:sz w:val="40"/>
          <w:szCs w:val="40"/>
        </w:rPr>
        <w:t>2</w:t>
      </w:r>
      <w:r w:rsidR="00C7752C">
        <w:rPr>
          <w:rFonts w:eastAsia="Calibri"/>
          <w:b/>
          <w:sz w:val="40"/>
          <w:szCs w:val="40"/>
        </w:rPr>
        <w:t>/</w:t>
      </w:r>
      <w:r>
        <w:rPr>
          <w:rFonts w:eastAsia="Calibri"/>
          <w:b/>
          <w:sz w:val="40"/>
          <w:szCs w:val="40"/>
        </w:rPr>
        <w:t>2</w:t>
      </w:r>
      <w:r w:rsidR="003F03B0">
        <w:rPr>
          <w:rFonts w:eastAsia="Calibri"/>
          <w:b/>
          <w:sz w:val="40"/>
          <w:szCs w:val="40"/>
        </w:rPr>
        <w:t>3</w:t>
      </w:r>
      <w:r w:rsidR="008C4269" w:rsidRPr="008C4269">
        <w:rPr>
          <w:rFonts w:eastAsia="Calibri"/>
          <w:b/>
          <w:sz w:val="40"/>
          <w:szCs w:val="40"/>
        </w:rPr>
        <w:br/>
      </w:r>
    </w:p>
    <w:p w14:paraId="28EA313E" w14:textId="77777777" w:rsidR="008C4269" w:rsidRDefault="008C4269" w:rsidP="00F0044D">
      <w:pPr>
        <w:ind w:left="60"/>
        <w:jc w:val="both"/>
        <w:rPr>
          <w:b/>
          <w:color w:val="000000"/>
          <w:lang w:val="en-US"/>
        </w:rPr>
      </w:pPr>
    </w:p>
    <w:p w14:paraId="3B6FD916" w14:textId="77777777" w:rsidR="008C4269" w:rsidRPr="008C4269" w:rsidRDefault="008C4269" w:rsidP="008C4269">
      <w:pPr>
        <w:spacing w:after="200" w:line="276" w:lineRule="auto"/>
        <w:rPr>
          <w:rFonts w:eastAsia="Calibri"/>
          <w:b/>
          <w:sz w:val="40"/>
          <w:szCs w:val="40"/>
        </w:rPr>
      </w:pPr>
      <w:r w:rsidRPr="008C4269">
        <w:rPr>
          <w:rFonts w:eastAsia="Calibri"/>
          <w:b/>
          <w:sz w:val="40"/>
          <w:szCs w:val="40"/>
        </w:rPr>
        <w:t>CONTENTS:</w:t>
      </w:r>
    </w:p>
    <w:p w14:paraId="4CE7F85C" w14:textId="77777777" w:rsidR="00D93810" w:rsidRDefault="008C4269" w:rsidP="008C4269">
      <w:pPr>
        <w:spacing w:after="200" w:line="276" w:lineRule="auto"/>
        <w:rPr>
          <w:rFonts w:eastAsia="Calibri"/>
          <w:b/>
          <w:sz w:val="40"/>
          <w:szCs w:val="40"/>
        </w:rPr>
      </w:pPr>
      <w:r w:rsidRPr="008C4269">
        <w:rPr>
          <w:rFonts w:eastAsia="Calibri"/>
          <w:b/>
          <w:sz w:val="40"/>
          <w:szCs w:val="40"/>
        </w:rPr>
        <w:t>Introduction</w:t>
      </w:r>
    </w:p>
    <w:p w14:paraId="7A2FB351" w14:textId="77777777" w:rsidR="00301A0D" w:rsidRDefault="00ED1538" w:rsidP="008C4269">
      <w:pPr>
        <w:spacing w:after="200" w:line="276" w:lineRule="auto"/>
        <w:rPr>
          <w:rFonts w:eastAsia="Calibri"/>
          <w:b/>
          <w:sz w:val="40"/>
          <w:szCs w:val="40"/>
        </w:rPr>
      </w:pPr>
      <w:r>
        <w:rPr>
          <w:rFonts w:eastAsia="Calibri"/>
          <w:b/>
          <w:sz w:val="40"/>
          <w:szCs w:val="40"/>
        </w:rPr>
        <w:t>Summary of outputs</w:t>
      </w:r>
      <w:r w:rsidR="005A5058">
        <w:rPr>
          <w:rFonts w:eastAsia="Calibri"/>
          <w:b/>
          <w:sz w:val="40"/>
          <w:szCs w:val="40"/>
        </w:rPr>
        <w:t>/</w:t>
      </w:r>
      <w:r w:rsidR="00301A0D">
        <w:rPr>
          <w:rFonts w:eastAsia="Calibri"/>
          <w:b/>
          <w:sz w:val="40"/>
          <w:szCs w:val="40"/>
        </w:rPr>
        <w:t>Progress against the Plan</w:t>
      </w:r>
    </w:p>
    <w:p w14:paraId="12FF18B9" w14:textId="77777777" w:rsidR="00301A0D" w:rsidRDefault="00016305" w:rsidP="008C4269">
      <w:pPr>
        <w:spacing w:after="200" w:line="276" w:lineRule="auto"/>
        <w:rPr>
          <w:rFonts w:eastAsia="Calibri"/>
          <w:b/>
          <w:sz w:val="40"/>
          <w:szCs w:val="40"/>
        </w:rPr>
      </w:pPr>
      <w:r>
        <w:rPr>
          <w:rFonts w:eastAsia="Calibri"/>
          <w:b/>
          <w:sz w:val="40"/>
          <w:szCs w:val="40"/>
        </w:rPr>
        <w:t>Performance of Anti-Fraud Team</w:t>
      </w:r>
    </w:p>
    <w:p w14:paraId="5F643311" w14:textId="77777777" w:rsidR="008C4269" w:rsidRDefault="00505743" w:rsidP="008C4269">
      <w:pPr>
        <w:spacing w:after="200" w:line="276" w:lineRule="auto"/>
        <w:rPr>
          <w:rFonts w:eastAsia="Calibri"/>
          <w:b/>
          <w:sz w:val="40"/>
          <w:szCs w:val="40"/>
        </w:rPr>
      </w:pPr>
      <w:r>
        <w:rPr>
          <w:rFonts w:eastAsia="Calibri"/>
          <w:b/>
          <w:sz w:val="40"/>
          <w:szCs w:val="40"/>
        </w:rPr>
        <w:t>Fraud referrals, outputs</w:t>
      </w:r>
      <w:r w:rsidR="00301A0D">
        <w:rPr>
          <w:rFonts w:eastAsia="Calibri"/>
          <w:b/>
          <w:sz w:val="40"/>
          <w:szCs w:val="40"/>
        </w:rPr>
        <w:t xml:space="preserve"> and savings summary</w:t>
      </w:r>
    </w:p>
    <w:p w14:paraId="2208066B" w14:textId="77777777" w:rsidR="002D554F" w:rsidRDefault="002D554F" w:rsidP="008C4269">
      <w:pPr>
        <w:spacing w:after="200" w:line="276" w:lineRule="auto"/>
        <w:rPr>
          <w:rFonts w:eastAsia="Calibri"/>
          <w:b/>
          <w:sz w:val="40"/>
          <w:szCs w:val="40"/>
        </w:rPr>
      </w:pPr>
    </w:p>
    <w:p w14:paraId="28EAF849" w14:textId="77777777" w:rsidR="002D554F" w:rsidRDefault="002D554F" w:rsidP="008C4269">
      <w:pPr>
        <w:spacing w:after="200" w:line="276" w:lineRule="auto"/>
        <w:rPr>
          <w:rFonts w:eastAsia="Calibri"/>
          <w:b/>
          <w:sz w:val="40"/>
          <w:szCs w:val="40"/>
        </w:rPr>
      </w:pPr>
    </w:p>
    <w:p w14:paraId="5943D1F3" w14:textId="77777777" w:rsidR="009D080F" w:rsidRDefault="009D080F" w:rsidP="008C4269">
      <w:pPr>
        <w:spacing w:after="200" w:line="276" w:lineRule="auto"/>
        <w:rPr>
          <w:rFonts w:eastAsia="Calibri"/>
          <w:b/>
          <w:sz w:val="40"/>
          <w:szCs w:val="40"/>
        </w:rPr>
      </w:pPr>
    </w:p>
    <w:p w14:paraId="19DA316B" w14:textId="77777777" w:rsidR="009D080F" w:rsidRDefault="009D080F" w:rsidP="008C4269">
      <w:pPr>
        <w:spacing w:after="200" w:line="276" w:lineRule="auto"/>
        <w:rPr>
          <w:rFonts w:eastAsia="Calibri"/>
          <w:b/>
          <w:sz w:val="40"/>
          <w:szCs w:val="40"/>
        </w:rPr>
      </w:pPr>
    </w:p>
    <w:p w14:paraId="62A69D0D" w14:textId="77777777" w:rsidR="009D080F" w:rsidRDefault="009D080F" w:rsidP="008C4269">
      <w:pPr>
        <w:spacing w:after="200" w:line="276" w:lineRule="auto"/>
        <w:rPr>
          <w:rFonts w:eastAsia="Calibri"/>
          <w:b/>
          <w:sz w:val="40"/>
          <w:szCs w:val="40"/>
        </w:rPr>
      </w:pPr>
    </w:p>
    <w:p w14:paraId="2CE3EAFE" w14:textId="77777777" w:rsidR="009D080F" w:rsidRDefault="009D080F" w:rsidP="008C4269">
      <w:pPr>
        <w:spacing w:after="200" w:line="276" w:lineRule="auto"/>
        <w:rPr>
          <w:rFonts w:eastAsia="Calibri"/>
          <w:b/>
          <w:sz w:val="40"/>
          <w:szCs w:val="40"/>
        </w:rPr>
      </w:pPr>
    </w:p>
    <w:p w14:paraId="3EBAE1FF" w14:textId="77777777" w:rsidR="009D080F" w:rsidRDefault="009D080F" w:rsidP="008C4269">
      <w:pPr>
        <w:spacing w:after="200" w:line="276" w:lineRule="auto"/>
        <w:rPr>
          <w:rFonts w:eastAsia="Calibri"/>
          <w:b/>
          <w:sz w:val="40"/>
          <w:szCs w:val="40"/>
        </w:rPr>
      </w:pPr>
    </w:p>
    <w:p w14:paraId="227CD7AB" w14:textId="77777777" w:rsidR="009D080F" w:rsidRDefault="009D080F" w:rsidP="008C4269">
      <w:pPr>
        <w:spacing w:after="200" w:line="276" w:lineRule="auto"/>
        <w:rPr>
          <w:rFonts w:eastAsia="Calibri"/>
          <w:b/>
          <w:sz w:val="40"/>
          <w:szCs w:val="40"/>
        </w:rPr>
      </w:pPr>
    </w:p>
    <w:p w14:paraId="2A6A8168" w14:textId="2AE5F14E" w:rsidR="009D080F" w:rsidRDefault="009D080F" w:rsidP="008C4269">
      <w:pPr>
        <w:spacing w:after="200" w:line="276" w:lineRule="auto"/>
        <w:rPr>
          <w:rFonts w:eastAsia="Calibri"/>
          <w:b/>
          <w:sz w:val="40"/>
          <w:szCs w:val="40"/>
        </w:rPr>
      </w:pPr>
    </w:p>
    <w:p w14:paraId="52671048" w14:textId="77777777" w:rsidR="00157B3A" w:rsidRPr="008C4269" w:rsidRDefault="00157B3A" w:rsidP="008C4269">
      <w:pPr>
        <w:spacing w:after="200" w:line="276" w:lineRule="auto"/>
        <w:rPr>
          <w:rFonts w:eastAsia="Calibri"/>
          <w:b/>
          <w:sz w:val="40"/>
          <w:szCs w:val="40"/>
        </w:rPr>
      </w:pPr>
    </w:p>
    <w:p w14:paraId="52F334CB" w14:textId="77777777" w:rsidR="00C0282A" w:rsidRPr="008C4269" w:rsidRDefault="00C0282A" w:rsidP="00C0282A">
      <w:pPr>
        <w:shd w:val="clear" w:color="auto" w:fill="17365D"/>
        <w:ind w:left="-142"/>
        <w:rPr>
          <w:rFonts w:eastAsia="Calibri"/>
          <w:b/>
          <w:sz w:val="40"/>
          <w:szCs w:val="40"/>
        </w:rPr>
      </w:pPr>
      <w:r w:rsidRPr="008C4269">
        <w:rPr>
          <w:rFonts w:eastAsia="Calibri"/>
          <w:b/>
          <w:sz w:val="40"/>
          <w:szCs w:val="40"/>
        </w:rPr>
        <w:lastRenderedPageBreak/>
        <w:t>Introduction</w:t>
      </w:r>
    </w:p>
    <w:p w14:paraId="573D2A8F" w14:textId="77777777" w:rsidR="008C4269" w:rsidRPr="008C4269" w:rsidRDefault="008C4269" w:rsidP="008C4269">
      <w:pPr>
        <w:rPr>
          <w:rFonts w:eastAsia="Calibri"/>
          <w:b/>
        </w:rPr>
      </w:pPr>
    </w:p>
    <w:p w14:paraId="60968F7B" w14:textId="262D4A97" w:rsidR="008C4269" w:rsidRPr="008C4269" w:rsidRDefault="008C4269" w:rsidP="005B6965">
      <w:pPr>
        <w:jc w:val="both"/>
        <w:rPr>
          <w:rFonts w:eastAsia="Calibri"/>
          <w:color w:val="FF0000"/>
        </w:rPr>
      </w:pPr>
      <w:r w:rsidRPr="008C4269">
        <w:rPr>
          <w:rFonts w:eastAsia="Calibri"/>
          <w:lang w:val="en-US"/>
        </w:rPr>
        <w:t xml:space="preserve">This report outlines the </w:t>
      </w:r>
      <w:r>
        <w:rPr>
          <w:rFonts w:eastAsia="Calibri"/>
          <w:lang w:val="en-US"/>
        </w:rPr>
        <w:t xml:space="preserve">corporate </w:t>
      </w:r>
      <w:r w:rsidR="5CF49285" w:rsidRPr="4514BC5D">
        <w:rPr>
          <w:rFonts w:eastAsia="Calibri"/>
          <w:lang w:val="en-US"/>
        </w:rPr>
        <w:t>ant</w:t>
      </w:r>
      <w:r w:rsidR="4DF641D6" w:rsidRPr="4514BC5D">
        <w:rPr>
          <w:rFonts w:eastAsia="Calibri"/>
          <w:lang w:val="en-US"/>
        </w:rPr>
        <w:t>i</w:t>
      </w:r>
      <w:r>
        <w:rPr>
          <w:rFonts w:eastAsia="Calibri"/>
          <w:lang w:val="en-US"/>
        </w:rPr>
        <w:t xml:space="preserve">-fraud </w:t>
      </w:r>
      <w:r w:rsidR="00806A12">
        <w:rPr>
          <w:rFonts w:eastAsia="Calibri"/>
          <w:lang w:val="en-US"/>
        </w:rPr>
        <w:t xml:space="preserve">work carried </w:t>
      </w:r>
      <w:r w:rsidR="00EE42AB">
        <w:rPr>
          <w:rFonts w:eastAsia="Calibri"/>
          <w:lang w:val="en-US"/>
        </w:rPr>
        <w:t xml:space="preserve">out during </w:t>
      </w:r>
      <w:r w:rsidR="00806A12">
        <w:rPr>
          <w:rFonts w:eastAsia="Calibri"/>
          <w:lang w:val="en-US"/>
        </w:rPr>
        <w:t>20</w:t>
      </w:r>
      <w:r w:rsidR="004B3D92">
        <w:rPr>
          <w:rFonts w:eastAsia="Calibri"/>
          <w:lang w:val="en-US"/>
        </w:rPr>
        <w:t>2</w:t>
      </w:r>
      <w:r w:rsidR="00D40C40">
        <w:rPr>
          <w:rFonts w:eastAsia="Calibri"/>
          <w:lang w:val="en-US"/>
        </w:rPr>
        <w:t>2</w:t>
      </w:r>
      <w:r w:rsidR="00614CFF">
        <w:rPr>
          <w:rFonts w:eastAsia="Calibri"/>
          <w:lang w:val="en-US"/>
        </w:rPr>
        <w:t>/</w:t>
      </w:r>
      <w:r w:rsidR="00806A12">
        <w:rPr>
          <w:rFonts w:eastAsia="Calibri"/>
          <w:lang w:val="en-US"/>
        </w:rPr>
        <w:t>2</w:t>
      </w:r>
      <w:r w:rsidR="00D40C40">
        <w:rPr>
          <w:rFonts w:eastAsia="Calibri"/>
          <w:lang w:val="en-US"/>
        </w:rPr>
        <w:t>3</w:t>
      </w:r>
      <w:r w:rsidR="00EE42AB">
        <w:rPr>
          <w:rFonts w:eastAsia="Calibri"/>
          <w:lang w:val="en-US"/>
        </w:rPr>
        <w:t xml:space="preserve">.  </w:t>
      </w:r>
      <w:r w:rsidR="00BC4DED">
        <w:rPr>
          <w:rFonts w:eastAsia="Calibri"/>
          <w:lang w:val="en-US"/>
        </w:rPr>
        <w:t xml:space="preserve">The </w:t>
      </w:r>
      <w:r w:rsidR="32E03062" w:rsidRPr="4514BC5D">
        <w:rPr>
          <w:rFonts w:eastAsia="Calibri"/>
          <w:lang w:val="en-US"/>
        </w:rPr>
        <w:t xml:space="preserve">service has an annual </w:t>
      </w:r>
      <w:r w:rsidR="1DC3AA44" w:rsidRPr="4514BC5D">
        <w:rPr>
          <w:rFonts w:eastAsia="Calibri"/>
          <w:lang w:val="en-US"/>
        </w:rPr>
        <w:t>plan</w:t>
      </w:r>
      <w:r w:rsidR="2D7D0FE5" w:rsidRPr="4514BC5D">
        <w:rPr>
          <w:rFonts w:eastAsia="Calibri"/>
          <w:lang w:val="en-US"/>
        </w:rPr>
        <w:t xml:space="preserve"> which</w:t>
      </w:r>
      <w:r w:rsidR="00BC4DED">
        <w:rPr>
          <w:rFonts w:eastAsia="Calibri"/>
          <w:lang w:val="en-US"/>
        </w:rPr>
        <w:t xml:space="preserve"> is risk based and developed through consultation int</w:t>
      </w:r>
      <w:r w:rsidR="00473BCD">
        <w:rPr>
          <w:rFonts w:eastAsia="Calibri"/>
          <w:lang w:val="en-US"/>
        </w:rPr>
        <w:t xml:space="preserve">ernally and </w:t>
      </w:r>
      <w:r w:rsidR="1DC3AA44" w:rsidRPr="4514BC5D">
        <w:rPr>
          <w:rFonts w:eastAsia="Calibri"/>
          <w:lang w:val="en-US"/>
        </w:rPr>
        <w:t>draw</w:t>
      </w:r>
      <w:r w:rsidR="4149AD9B" w:rsidRPr="4514BC5D">
        <w:rPr>
          <w:rFonts w:eastAsia="Calibri"/>
          <w:lang w:val="en-US"/>
        </w:rPr>
        <w:t>s</w:t>
      </w:r>
      <w:r w:rsidR="00BC4DED">
        <w:rPr>
          <w:rFonts w:eastAsia="Calibri"/>
          <w:lang w:val="en-US"/>
        </w:rPr>
        <w:t xml:space="preserve"> upon external sources of data to ensure that </w:t>
      </w:r>
      <w:r w:rsidR="00473BCD">
        <w:rPr>
          <w:rFonts w:eastAsia="Calibri"/>
          <w:lang w:val="en-US"/>
        </w:rPr>
        <w:t xml:space="preserve">where possible best practice is followed and </w:t>
      </w:r>
      <w:r w:rsidR="00BC4DED">
        <w:rPr>
          <w:rFonts w:eastAsia="Calibri"/>
          <w:lang w:val="en-US"/>
        </w:rPr>
        <w:t xml:space="preserve">fraud resources are targeted at those areas of the authority </w:t>
      </w:r>
      <w:r w:rsidR="00473BCD">
        <w:rPr>
          <w:rFonts w:eastAsia="Calibri"/>
          <w:lang w:val="en-US"/>
        </w:rPr>
        <w:t>deemed</w:t>
      </w:r>
      <w:r w:rsidR="00BC4DED">
        <w:rPr>
          <w:rFonts w:eastAsia="Calibri"/>
          <w:lang w:val="en-US"/>
        </w:rPr>
        <w:t xml:space="preserve"> to be of highest risk to fraud with the greatest potential </w:t>
      </w:r>
      <w:r w:rsidR="00473BCD">
        <w:rPr>
          <w:rFonts w:eastAsia="Calibri"/>
          <w:lang w:val="en-US"/>
        </w:rPr>
        <w:t xml:space="preserve">negative </w:t>
      </w:r>
      <w:r w:rsidR="00BC4DED">
        <w:rPr>
          <w:rFonts w:eastAsia="Calibri"/>
          <w:lang w:val="en-US"/>
        </w:rPr>
        <w:t>financial impact and/or reputational damage.  The plan is approved by the Governance, Audit, Risk Management &amp; Standards Committee</w:t>
      </w:r>
      <w:r w:rsidR="00473BCD">
        <w:rPr>
          <w:rFonts w:eastAsia="Calibri"/>
          <w:lang w:val="en-US"/>
        </w:rPr>
        <w:t xml:space="preserve"> (GARMS) </w:t>
      </w:r>
      <w:r w:rsidR="00BC4DED">
        <w:rPr>
          <w:rFonts w:eastAsia="Calibri"/>
          <w:lang w:val="en-US"/>
        </w:rPr>
        <w:t xml:space="preserve">annually </w:t>
      </w:r>
      <w:r w:rsidR="00473BCD">
        <w:rPr>
          <w:rFonts w:eastAsia="Calibri"/>
          <w:lang w:val="en-US"/>
        </w:rPr>
        <w:t xml:space="preserve">and mid-year </w:t>
      </w:r>
      <w:r w:rsidR="00CE1DA5">
        <w:rPr>
          <w:rFonts w:eastAsia="Calibri"/>
          <w:lang w:val="en-US"/>
        </w:rPr>
        <w:t xml:space="preserve">(not this year due to </w:t>
      </w:r>
      <w:r w:rsidR="00537C48">
        <w:rPr>
          <w:rFonts w:eastAsia="Calibri"/>
          <w:lang w:val="en-US"/>
        </w:rPr>
        <w:t>work undertaken on the significant governance gap</w:t>
      </w:r>
      <w:r w:rsidR="00CE1DA5">
        <w:rPr>
          <w:rFonts w:eastAsia="Calibri"/>
          <w:lang w:val="en-US"/>
        </w:rPr>
        <w:t xml:space="preserve">) </w:t>
      </w:r>
      <w:r w:rsidR="00473BCD">
        <w:rPr>
          <w:rFonts w:eastAsia="Calibri"/>
          <w:lang w:val="en-US"/>
        </w:rPr>
        <w:t xml:space="preserve">and year end progress reports provided against the plan </w:t>
      </w:r>
      <w:r w:rsidR="00BC4DED">
        <w:rPr>
          <w:rFonts w:eastAsia="Calibri"/>
          <w:lang w:val="en-US"/>
        </w:rPr>
        <w:t>to provide a level of assurance around the authorities’ fraud risk resilience capability</w:t>
      </w:r>
      <w:r w:rsidR="00E4737B">
        <w:rPr>
          <w:rFonts w:eastAsia="Calibri"/>
          <w:lang w:val="en-US"/>
        </w:rPr>
        <w:t xml:space="preserve"> and performance</w:t>
      </w:r>
      <w:r w:rsidR="00473BCD">
        <w:rPr>
          <w:rFonts w:eastAsia="Calibri"/>
          <w:lang w:val="en-US"/>
        </w:rPr>
        <w:t xml:space="preserve">.  </w:t>
      </w:r>
      <w:r w:rsidR="00BC4DED">
        <w:rPr>
          <w:rFonts w:eastAsia="Calibri"/>
          <w:lang w:val="en-US"/>
        </w:rPr>
        <w:t xml:space="preserve">        </w:t>
      </w:r>
    </w:p>
    <w:p w14:paraId="0B0B523B" w14:textId="77777777" w:rsidR="00F0044D" w:rsidRPr="00D3252E" w:rsidRDefault="00F0044D" w:rsidP="005B6965">
      <w:pPr>
        <w:ind w:left="60"/>
        <w:jc w:val="both"/>
        <w:rPr>
          <w:b/>
          <w:lang w:val="en-US"/>
        </w:rPr>
      </w:pPr>
    </w:p>
    <w:p w14:paraId="4C5E4E2A" w14:textId="77777777" w:rsidR="008C4269" w:rsidRPr="008C4269" w:rsidRDefault="008C4269" w:rsidP="008C4269">
      <w:pPr>
        <w:shd w:val="clear" w:color="auto" w:fill="17365D"/>
        <w:ind w:left="-142" w:firstLine="142"/>
        <w:rPr>
          <w:rFonts w:eastAsia="Calibri"/>
          <w:b/>
          <w:sz w:val="40"/>
          <w:szCs w:val="40"/>
        </w:rPr>
      </w:pPr>
      <w:r w:rsidRPr="008C4269">
        <w:rPr>
          <w:rFonts w:eastAsia="Calibri"/>
          <w:b/>
          <w:sz w:val="40"/>
          <w:szCs w:val="40"/>
        </w:rPr>
        <w:t xml:space="preserve">Summary of </w:t>
      </w:r>
      <w:r w:rsidR="00ED1538">
        <w:rPr>
          <w:rFonts w:eastAsia="Calibri"/>
          <w:b/>
          <w:sz w:val="40"/>
          <w:szCs w:val="40"/>
        </w:rPr>
        <w:t>outputs</w:t>
      </w:r>
      <w:r w:rsidR="005A5058">
        <w:rPr>
          <w:rFonts w:eastAsia="Calibri"/>
          <w:b/>
          <w:sz w:val="40"/>
          <w:szCs w:val="40"/>
        </w:rPr>
        <w:t xml:space="preserve">/Progress against </w:t>
      </w:r>
      <w:r w:rsidR="005D7D25">
        <w:rPr>
          <w:rFonts w:eastAsia="Calibri"/>
          <w:b/>
          <w:sz w:val="40"/>
          <w:szCs w:val="40"/>
        </w:rPr>
        <w:t xml:space="preserve">the </w:t>
      </w:r>
      <w:r w:rsidR="005A5058">
        <w:rPr>
          <w:rFonts w:eastAsia="Calibri"/>
          <w:b/>
          <w:sz w:val="40"/>
          <w:szCs w:val="40"/>
        </w:rPr>
        <w:t>plan</w:t>
      </w:r>
    </w:p>
    <w:p w14:paraId="58E98BF4" w14:textId="77777777" w:rsidR="008C4269" w:rsidRDefault="008C4269" w:rsidP="00EF7582">
      <w:pPr>
        <w:tabs>
          <w:tab w:val="left" w:pos="4335"/>
        </w:tabs>
        <w:rPr>
          <w:b/>
        </w:rPr>
      </w:pPr>
    </w:p>
    <w:p w14:paraId="12AB02A9" w14:textId="2246F016" w:rsidR="008C4269" w:rsidRPr="007C38FE" w:rsidRDefault="008C4269" w:rsidP="005B6965">
      <w:pPr>
        <w:jc w:val="both"/>
        <w:rPr>
          <w:rFonts w:eastAsia="Calibri"/>
        </w:rPr>
      </w:pPr>
      <w:r w:rsidRPr="007C38FE">
        <w:rPr>
          <w:rFonts w:eastAsia="Calibri"/>
        </w:rPr>
        <w:t>A summary of key outputs from the programme of corporate anti-fraud work for the year</w:t>
      </w:r>
      <w:r w:rsidR="00473BCD" w:rsidRPr="007C38FE">
        <w:rPr>
          <w:rFonts w:eastAsia="Calibri"/>
        </w:rPr>
        <w:t xml:space="preserve"> is recorded in the table below.  </w:t>
      </w:r>
      <w:bookmarkStart w:id="0" w:name="_Hlk80800225"/>
      <w:r w:rsidR="00435CBB" w:rsidRPr="007C38FE">
        <w:rPr>
          <w:rFonts w:eastAsia="Calibri"/>
        </w:rPr>
        <w:t>Of the 1</w:t>
      </w:r>
      <w:r w:rsidR="008D07D6" w:rsidRPr="007C38FE">
        <w:rPr>
          <w:rFonts w:eastAsia="Calibri"/>
        </w:rPr>
        <w:t>2</w:t>
      </w:r>
      <w:r w:rsidR="00473BCD" w:rsidRPr="007C38FE">
        <w:rPr>
          <w:rFonts w:eastAsia="Calibri"/>
        </w:rPr>
        <w:t xml:space="preserve"> work stre</w:t>
      </w:r>
      <w:r w:rsidR="00C0043F" w:rsidRPr="007C38FE">
        <w:rPr>
          <w:rFonts w:eastAsia="Calibri"/>
        </w:rPr>
        <w:t xml:space="preserve">ams contained within the plan, </w:t>
      </w:r>
      <w:r w:rsidR="00753491" w:rsidRPr="007C38FE">
        <w:rPr>
          <w:rFonts w:eastAsia="Calibri"/>
        </w:rPr>
        <w:t>6</w:t>
      </w:r>
      <w:r w:rsidR="00AD7E8F" w:rsidRPr="007C38FE">
        <w:rPr>
          <w:rFonts w:eastAsia="Calibri"/>
        </w:rPr>
        <w:t xml:space="preserve"> (</w:t>
      </w:r>
      <w:r w:rsidR="00753491" w:rsidRPr="007C38FE">
        <w:rPr>
          <w:rFonts w:eastAsia="Calibri"/>
        </w:rPr>
        <w:t>50%</w:t>
      </w:r>
      <w:r w:rsidR="00AD7E8F" w:rsidRPr="007C38FE">
        <w:rPr>
          <w:rFonts w:eastAsia="Calibri"/>
        </w:rPr>
        <w:t xml:space="preserve">) were achieved, </w:t>
      </w:r>
      <w:r w:rsidR="00006780">
        <w:rPr>
          <w:rFonts w:eastAsia="Calibri"/>
        </w:rPr>
        <w:t>1 (8) was substantially achieved</w:t>
      </w:r>
      <w:r w:rsidR="00C95F48">
        <w:rPr>
          <w:rFonts w:eastAsia="Calibri"/>
        </w:rPr>
        <w:t>, 3</w:t>
      </w:r>
      <w:r w:rsidR="000D2E64" w:rsidRPr="007C38FE">
        <w:rPr>
          <w:rFonts w:eastAsia="Calibri"/>
        </w:rPr>
        <w:t xml:space="preserve"> (</w:t>
      </w:r>
      <w:r w:rsidR="00C95F48">
        <w:rPr>
          <w:rFonts w:eastAsia="Calibri"/>
        </w:rPr>
        <w:t>25</w:t>
      </w:r>
      <w:r w:rsidR="000D2E64" w:rsidRPr="007C38FE">
        <w:rPr>
          <w:rFonts w:eastAsia="Calibri"/>
        </w:rPr>
        <w:t xml:space="preserve">%) </w:t>
      </w:r>
      <w:r w:rsidR="00A42B15" w:rsidRPr="007C38FE">
        <w:rPr>
          <w:rFonts w:eastAsia="Calibri"/>
        </w:rPr>
        <w:t xml:space="preserve">were partially </w:t>
      </w:r>
      <w:r w:rsidR="00731366" w:rsidRPr="007C38FE">
        <w:rPr>
          <w:rFonts w:eastAsia="Calibri"/>
        </w:rPr>
        <w:t>achieved</w:t>
      </w:r>
      <w:r w:rsidR="00F478FC" w:rsidRPr="007C38FE">
        <w:rPr>
          <w:rFonts w:eastAsia="Calibri"/>
        </w:rPr>
        <w:t>, 1</w:t>
      </w:r>
      <w:r w:rsidR="00731366" w:rsidRPr="007C38FE">
        <w:rPr>
          <w:rFonts w:eastAsia="Calibri"/>
        </w:rPr>
        <w:t xml:space="preserve"> </w:t>
      </w:r>
      <w:r w:rsidR="000D2E64" w:rsidRPr="007C38FE">
        <w:rPr>
          <w:rFonts w:eastAsia="Calibri"/>
        </w:rPr>
        <w:t>(</w:t>
      </w:r>
      <w:r w:rsidR="007C38FE" w:rsidRPr="007C38FE">
        <w:rPr>
          <w:rFonts w:eastAsia="Calibri"/>
        </w:rPr>
        <w:t>8</w:t>
      </w:r>
      <w:r w:rsidR="000D2E64" w:rsidRPr="007C38FE">
        <w:rPr>
          <w:rFonts w:eastAsia="Calibri"/>
        </w:rPr>
        <w:t>%)</w:t>
      </w:r>
      <w:r w:rsidR="00731366" w:rsidRPr="007C38FE">
        <w:rPr>
          <w:rFonts w:eastAsia="Calibri"/>
        </w:rPr>
        <w:t xml:space="preserve"> </w:t>
      </w:r>
      <w:r w:rsidR="00F478FC" w:rsidRPr="007C38FE">
        <w:rPr>
          <w:rFonts w:eastAsia="Calibri"/>
        </w:rPr>
        <w:t>was carried over to 2023-24 and</w:t>
      </w:r>
      <w:r w:rsidR="007C38FE" w:rsidRPr="007C38FE">
        <w:rPr>
          <w:rFonts w:eastAsia="Calibri"/>
        </w:rPr>
        <w:t xml:space="preserve"> 1 (8%) was not achieved</w:t>
      </w:r>
      <w:r w:rsidR="00B50F1E" w:rsidRPr="007C38FE">
        <w:rPr>
          <w:rFonts w:eastAsia="Calibri"/>
        </w:rPr>
        <w:t>.</w:t>
      </w:r>
      <w:r w:rsidR="00AD7E8F" w:rsidRPr="007C38FE">
        <w:rPr>
          <w:rFonts w:eastAsia="Calibri"/>
        </w:rPr>
        <w:t xml:space="preserve">  In terms of the </w:t>
      </w:r>
      <w:r w:rsidR="00C06BDD" w:rsidRPr="4DDD1C6A">
        <w:rPr>
          <w:rFonts w:eastAsia="Calibri"/>
        </w:rPr>
        <w:t>team</w:t>
      </w:r>
      <w:r w:rsidR="7DF49EDB" w:rsidRPr="4DDD1C6A">
        <w:rPr>
          <w:rFonts w:eastAsia="Calibri"/>
        </w:rPr>
        <w:t>’</w:t>
      </w:r>
      <w:r w:rsidR="00C06BDD" w:rsidRPr="4DDD1C6A">
        <w:rPr>
          <w:rFonts w:eastAsia="Calibri"/>
        </w:rPr>
        <w:t>s</w:t>
      </w:r>
      <w:r w:rsidR="00C06BDD">
        <w:rPr>
          <w:rFonts w:eastAsia="Calibri"/>
        </w:rPr>
        <w:t xml:space="preserve"> </w:t>
      </w:r>
      <w:r w:rsidR="00AD7E8F" w:rsidRPr="007C38FE">
        <w:rPr>
          <w:rFonts w:eastAsia="Calibri"/>
        </w:rPr>
        <w:t>key performance indicators</w:t>
      </w:r>
      <w:r w:rsidR="00C06BDD">
        <w:rPr>
          <w:rFonts w:eastAsia="Calibri"/>
        </w:rPr>
        <w:t>;</w:t>
      </w:r>
      <w:r w:rsidR="00AD7E8F" w:rsidRPr="007C38FE">
        <w:rPr>
          <w:rFonts w:eastAsia="Calibri"/>
        </w:rPr>
        <w:t xml:space="preserve"> </w:t>
      </w:r>
      <w:r w:rsidR="007C31B5" w:rsidRPr="00E845C2">
        <w:rPr>
          <w:rFonts w:eastAsia="Calibri"/>
        </w:rPr>
        <w:t xml:space="preserve">all </w:t>
      </w:r>
      <w:r w:rsidR="00726313" w:rsidRPr="00E845C2">
        <w:rPr>
          <w:rFonts w:eastAsia="Calibri"/>
        </w:rPr>
        <w:t>5</w:t>
      </w:r>
      <w:r w:rsidR="009F7C1D" w:rsidRPr="00E845C2">
        <w:rPr>
          <w:rFonts w:eastAsia="Calibri"/>
        </w:rPr>
        <w:t xml:space="preserve"> </w:t>
      </w:r>
      <w:r w:rsidR="00AD7E8F" w:rsidRPr="00E845C2">
        <w:rPr>
          <w:rFonts w:eastAsia="Calibri"/>
        </w:rPr>
        <w:t xml:space="preserve">were </w:t>
      </w:r>
      <w:r w:rsidR="00073A41" w:rsidRPr="00E845C2">
        <w:rPr>
          <w:rFonts w:eastAsia="Calibri"/>
        </w:rPr>
        <w:t>ac</w:t>
      </w:r>
      <w:bookmarkEnd w:id="0"/>
      <w:r w:rsidR="007C31B5" w:rsidRPr="00E845C2">
        <w:rPr>
          <w:rFonts w:eastAsia="Calibri"/>
        </w:rPr>
        <w:t>hieved</w:t>
      </w:r>
      <w:r w:rsidR="00731366" w:rsidRPr="007C38FE">
        <w:rPr>
          <w:rFonts w:eastAsia="Calibri"/>
        </w:rPr>
        <w:t>.</w:t>
      </w:r>
      <w:r w:rsidR="009F7C1D" w:rsidRPr="007C38FE">
        <w:rPr>
          <w:rFonts w:eastAsia="Calibri"/>
        </w:rPr>
        <w:t xml:space="preserve"> </w:t>
      </w:r>
    </w:p>
    <w:p w14:paraId="0295A8B7" w14:textId="77777777" w:rsidR="00F0044D" w:rsidRPr="00F36F13" w:rsidRDefault="00404DDF" w:rsidP="00404DDF">
      <w:pPr>
        <w:tabs>
          <w:tab w:val="left" w:pos="3986"/>
        </w:tabs>
        <w:rPr>
          <w:b/>
          <w:color w:val="FF0000"/>
        </w:rPr>
      </w:pPr>
      <w:r>
        <w:rPr>
          <w:b/>
          <w:color w:val="FF0000"/>
        </w:rPr>
        <w:tab/>
      </w:r>
    </w:p>
    <w:tbl>
      <w:tblPr>
        <w:tblW w:w="10490" w:type="dxa"/>
        <w:tblInd w:w="-34" w:type="dxa"/>
        <w:tblLayout w:type="fixed"/>
        <w:tblLook w:val="0000" w:firstRow="0" w:lastRow="0" w:firstColumn="0" w:lastColumn="0" w:noHBand="0" w:noVBand="0"/>
      </w:tblPr>
      <w:tblGrid>
        <w:gridCol w:w="570"/>
        <w:gridCol w:w="3967"/>
        <w:gridCol w:w="5953"/>
      </w:tblGrid>
      <w:tr w:rsidR="00523EDC" w:rsidRPr="00380629" w14:paraId="49C8151A" w14:textId="77777777" w:rsidTr="00523EDC">
        <w:trPr>
          <w:trHeight w:val="332"/>
        </w:trPr>
        <w:tc>
          <w:tcPr>
            <w:tcW w:w="10490" w:type="dxa"/>
            <w:gridSpan w:val="3"/>
            <w:tcBorders>
              <w:top w:val="single" w:sz="4" w:space="0" w:color="auto"/>
              <w:left w:val="single" w:sz="4" w:space="0" w:color="auto"/>
              <w:bottom w:val="single" w:sz="4" w:space="0" w:color="auto"/>
              <w:right w:val="single" w:sz="4" w:space="0" w:color="auto"/>
            </w:tcBorders>
            <w:shd w:val="clear" w:color="auto" w:fill="17365D"/>
          </w:tcPr>
          <w:p w14:paraId="42762722" w14:textId="06341933" w:rsidR="00523EDC" w:rsidRPr="00523EDC" w:rsidRDefault="00523EDC" w:rsidP="00397D5B">
            <w:pPr>
              <w:jc w:val="center"/>
              <w:rPr>
                <w:sz w:val="32"/>
                <w:szCs w:val="32"/>
                <w:lang w:val="en-US"/>
              </w:rPr>
            </w:pPr>
            <w:r w:rsidRPr="00523EDC">
              <w:rPr>
                <w:sz w:val="32"/>
                <w:szCs w:val="32"/>
                <w:lang w:val="en-US"/>
              </w:rPr>
              <w:t>Key Outputs at</w:t>
            </w:r>
            <w:r w:rsidR="00EE42AB">
              <w:rPr>
                <w:sz w:val="32"/>
                <w:szCs w:val="32"/>
                <w:lang w:val="en-US"/>
              </w:rPr>
              <w:t xml:space="preserve"> </w:t>
            </w:r>
            <w:r w:rsidRPr="00523EDC">
              <w:rPr>
                <w:sz w:val="32"/>
                <w:szCs w:val="32"/>
                <w:lang w:val="en-US"/>
              </w:rPr>
              <w:t>Yea</w:t>
            </w:r>
            <w:r>
              <w:rPr>
                <w:sz w:val="32"/>
                <w:szCs w:val="32"/>
                <w:lang w:val="en-US"/>
              </w:rPr>
              <w:t>r</w:t>
            </w:r>
            <w:r w:rsidR="00EE42AB">
              <w:rPr>
                <w:sz w:val="32"/>
                <w:szCs w:val="32"/>
                <w:lang w:val="en-US"/>
              </w:rPr>
              <w:t xml:space="preserve"> end</w:t>
            </w:r>
            <w:r w:rsidR="005A5058">
              <w:rPr>
                <w:sz w:val="32"/>
                <w:szCs w:val="32"/>
                <w:lang w:val="en-US"/>
              </w:rPr>
              <w:t xml:space="preserve"> </w:t>
            </w:r>
          </w:p>
        </w:tc>
      </w:tr>
      <w:tr w:rsidR="0017605D" w:rsidRPr="00380629" w14:paraId="511B03C1" w14:textId="77777777" w:rsidTr="701D1EDC">
        <w:trPr>
          <w:trHeight w:val="239"/>
        </w:trPr>
        <w:tc>
          <w:tcPr>
            <w:tcW w:w="570" w:type="dxa"/>
            <w:tcBorders>
              <w:top w:val="single" w:sz="4" w:space="0" w:color="auto"/>
              <w:left w:val="single" w:sz="4" w:space="0" w:color="auto"/>
              <w:bottom w:val="single" w:sz="4" w:space="0" w:color="auto"/>
              <w:right w:val="single" w:sz="4" w:space="0" w:color="auto"/>
            </w:tcBorders>
            <w:shd w:val="clear" w:color="auto" w:fill="17365D"/>
          </w:tcPr>
          <w:p w14:paraId="1BDE5772" w14:textId="77777777" w:rsidR="0017605D" w:rsidRDefault="0017605D" w:rsidP="007816FE">
            <w:pPr>
              <w:rPr>
                <w:b/>
                <w:bCs/>
                <w:sz w:val="20"/>
                <w:szCs w:val="20"/>
                <w:lang w:val="en-US"/>
              </w:rPr>
            </w:pPr>
          </w:p>
        </w:tc>
        <w:tc>
          <w:tcPr>
            <w:tcW w:w="3967" w:type="dxa"/>
            <w:tcBorders>
              <w:top w:val="single" w:sz="4" w:space="0" w:color="auto"/>
              <w:left w:val="single" w:sz="4" w:space="0" w:color="auto"/>
              <w:bottom w:val="single" w:sz="4" w:space="0" w:color="auto"/>
              <w:right w:val="single" w:sz="4" w:space="0" w:color="auto"/>
            </w:tcBorders>
            <w:shd w:val="clear" w:color="auto" w:fill="17365D"/>
            <w:noWrap/>
            <w:vAlign w:val="bottom"/>
          </w:tcPr>
          <w:p w14:paraId="3BCD7174" w14:textId="77777777" w:rsidR="0017605D" w:rsidRPr="00397D5B" w:rsidRDefault="0017605D" w:rsidP="00523EDC">
            <w:pPr>
              <w:rPr>
                <w:b/>
                <w:bCs/>
                <w:sz w:val="20"/>
                <w:szCs w:val="20"/>
                <w:lang w:val="en-US"/>
              </w:rPr>
            </w:pPr>
            <w:r w:rsidRPr="00397D5B">
              <w:rPr>
                <w:b/>
                <w:bCs/>
                <w:sz w:val="20"/>
                <w:szCs w:val="20"/>
                <w:lang w:val="en-US"/>
              </w:rPr>
              <w:t>Fraud work stream</w:t>
            </w:r>
          </w:p>
        </w:tc>
        <w:tc>
          <w:tcPr>
            <w:tcW w:w="5953" w:type="dxa"/>
            <w:tcBorders>
              <w:top w:val="single" w:sz="4" w:space="0" w:color="auto"/>
              <w:left w:val="nil"/>
              <w:bottom w:val="single" w:sz="4" w:space="0" w:color="auto"/>
              <w:right w:val="single" w:sz="4" w:space="0" w:color="auto"/>
            </w:tcBorders>
            <w:shd w:val="clear" w:color="auto" w:fill="17365D"/>
            <w:vAlign w:val="center"/>
          </w:tcPr>
          <w:p w14:paraId="53863C17" w14:textId="77777777" w:rsidR="00397D5B" w:rsidRDefault="00397D5B" w:rsidP="008937A7">
            <w:pPr>
              <w:rPr>
                <w:b/>
                <w:bCs/>
                <w:sz w:val="20"/>
                <w:szCs w:val="20"/>
                <w:lang w:val="en-US"/>
              </w:rPr>
            </w:pPr>
          </w:p>
          <w:p w14:paraId="5FBC2D19" w14:textId="77777777" w:rsidR="00397D5B" w:rsidRPr="00397D5B" w:rsidRDefault="00523EDC" w:rsidP="008937A7">
            <w:pPr>
              <w:rPr>
                <w:b/>
                <w:bCs/>
                <w:sz w:val="20"/>
                <w:szCs w:val="20"/>
                <w:lang w:val="en-US"/>
              </w:rPr>
            </w:pPr>
            <w:r w:rsidRPr="00397D5B">
              <w:rPr>
                <w:b/>
                <w:bCs/>
                <w:sz w:val="20"/>
                <w:szCs w:val="20"/>
                <w:lang w:val="en-US"/>
              </w:rPr>
              <w:t>Detail</w:t>
            </w:r>
          </w:p>
        </w:tc>
      </w:tr>
      <w:tr w:rsidR="0017605D" w:rsidRPr="0075312F" w14:paraId="04D1FDF0" w14:textId="77777777" w:rsidTr="701D1EDC">
        <w:trPr>
          <w:trHeight w:val="251"/>
        </w:trPr>
        <w:tc>
          <w:tcPr>
            <w:tcW w:w="570" w:type="dxa"/>
            <w:tcBorders>
              <w:top w:val="single" w:sz="4" w:space="0" w:color="auto"/>
              <w:left w:val="single" w:sz="4" w:space="0" w:color="auto"/>
              <w:bottom w:val="single" w:sz="4" w:space="0" w:color="auto"/>
              <w:right w:val="single" w:sz="4" w:space="0" w:color="auto"/>
            </w:tcBorders>
          </w:tcPr>
          <w:p w14:paraId="146BDDA1" w14:textId="77777777" w:rsidR="0017605D" w:rsidRDefault="0017605D" w:rsidP="007816FE">
            <w:pPr>
              <w:rPr>
                <w:sz w:val="20"/>
                <w:szCs w:val="20"/>
                <w:lang w:val="en-US"/>
              </w:rPr>
            </w:pPr>
            <w:r>
              <w:rPr>
                <w:sz w:val="20"/>
                <w:szCs w:val="20"/>
                <w:lang w:val="en-US"/>
              </w:rPr>
              <w:t>1</w:t>
            </w:r>
          </w:p>
        </w:tc>
        <w:tc>
          <w:tcPr>
            <w:tcW w:w="3967" w:type="dxa"/>
            <w:tcBorders>
              <w:top w:val="single" w:sz="4" w:space="0" w:color="auto"/>
              <w:left w:val="single" w:sz="4" w:space="0" w:color="auto"/>
              <w:bottom w:val="single" w:sz="4" w:space="0" w:color="auto"/>
              <w:right w:val="single" w:sz="4" w:space="0" w:color="auto"/>
            </w:tcBorders>
            <w:shd w:val="clear" w:color="auto" w:fill="auto"/>
            <w:noWrap/>
          </w:tcPr>
          <w:p w14:paraId="09222D27" w14:textId="77777777" w:rsidR="0017605D" w:rsidRPr="007C6042" w:rsidRDefault="0017605D" w:rsidP="00313433">
            <w:pPr>
              <w:rPr>
                <w:b/>
                <w:sz w:val="20"/>
                <w:szCs w:val="20"/>
                <w:lang w:val="en-US"/>
              </w:rPr>
            </w:pPr>
            <w:r w:rsidRPr="007C6042">
              <w:rPr>
                <w:b/>
                <w:sz w:val="20"/>
                <w:szCs w:val="20"/>
                <w:lang w:val="en-US"/>
              </w:rPr>
              <w:t>Corporate fraud risk assessment</w:t>
            </w:r>
          </w:p>
          <w:p w14:paraId="7F2AE577" w14:textId="77777777" w:rsidR="0017605D" w:rsidRPr="007C6042" w:rsidRDefault="0017605D" w:rsidP="00313433">
            <w:pPr>
              <w:rPr>
                <w:b/>
                <w:sz w:val="20"/>
                <w:szCs w:val="20"/>
                <w:lang w:val="en-US"/>
              </w:rPr>
            </w:pPr>
          </w:p>
          <w:p w14:paraId="2CFCEB77" w14:textId="3EC91EC1" w:rsidR="00076F29" w:rsidRDefault="00076F29" w:rsidP="00076F29">
            <w:pPr>
              <w:pStyle w:val="Default"/>
              <w:rPr>
                <w:sz w:val="20"/>
                <w:szCs w:val="20"/>
              </w:rPr>
            </w:pPr>
            <w:r>
              <w:rPr>
                <w:sz w:val="20"/>
                <w:szCs w:val="20"/>
              </w:rPr>
              <w:t>Identify and assess Harrow’s fraud risk exposure affecting the principle activities in order to fully understand changing patterns in fraud and corruption threats and the potential harmful consequences to the authority and our customers</w:t>
            </w:r>
            <w:r w:rsidR="00A67232">
              <w:rPr>
                <w:sz w:val="20"/>
                <w:szCs w:val="20"/>
              </w:rPr>
              <w:t>.</w:t>
            </w:r>
            <w:r>
              <w:rPr>
                <w:sz w:val="20"/>
                <w:szCs w:val="20"/>
              </w:rPr>
              <w:t xml:space="preserve"> </w:t>
            </w:r>
          </w:p>
          <w:p w14:paraId="6671704B" w14:textId="77777777" w:rsidR="0017605D" w:rsidRPr="007C6042" w:rsidRDefault="0017605D" w:rsidP="00583DB3">
            <w:pPr>
              <w:rPr>
                <w:b/>
                <w:sz w:val="20"/>
                <w:szCs w:val="20"/>
                <w:lang w:val="en-US"/>
              </w:rPr>
            </w:pPr>
          </w:p>
        </w:tc>
        <w:tc>
          <w:tcPr>
            <w:tcW w:w="5953" w:type="dxa"/>
            <w:tcBorders>
              <w:top w:val="single" w:sz="4" w:space="0" w:color="auto"/>
              <w:left w:val="nil"/>
              <w:bottom w:val="single" w:sz="4" w:space="0" w:color="auto"/>
              <w:right w:val="single" w:sz="4" w:space="0" w:color="auto"/>
            </w:tcBorders>
            <w:shd w:val="clear" w:color="auto" w:fill="auto"/>
          </w:tcPr>
          <w:p w14:paraId="28EDECED" w14:textId="034E33C8" w:rsidR="0017605D" w:rsidRPr="00A21619" w:rsidRDefault="00930342" w:rsidP="005A6791">
            <w:pPr>
              <w:rPr>
                <w:rFonts w:cs="Times New Roman"/>
                <w:b/>
                <w:sz w:val="20"/>
                <w:szCs w:val="20"/>
              </w:rPr>
            </w:pPr>
            <w:r w:rsidRPr="00A21619">
              <w:rPr>
                <w:rFonts w:cs="Times New Roman"/>
                <w:b/>
                <w:sz w:val="20"/>
                <w:szCs w:val="20"/>
              </w:rPr>
              <w:t xml:space="preserve">Objective </w:t>
            </w:r>
            <w:r w:rsidR="00157B3A" w:rsidRPr="00A21619">
              <w:rPr>
                <w:rFonts w:cs="Times New Roman"/>
                <w:b/>
                <w:sz w:val="20"/>
                <w:szCs w:val="20"/>
              </w:rPr>
              <w:t>achieved</w:t>
            </w:r>
          </w:p>
          <w:p w14:paraId="0C509817" w14:textId="3AE715C2" w:rsidR="00CA6ED9" w:rsidRPr="00A21619" w:rsidRDefault="00157B3A" w:rsidP="00D91B20">
            <w:pPr>
              <w:spacing w:after="160" w:line="259" w:lineRule="auto"/>
              <w:contextualSpacing/>
            </w:pPr>
            <w:r w:rsidRPr="00A21619">
              <w:rPr>
                <w:rFonts w:cs="Times New Roman"/>
                <w:sz w:val="20"/>
                <w:szCs w:val="20"/>
              </w:rPr>
              <w:t xml:space="preserve">A fraud risk assessment was carried out to develop the </w:t>
            </w:r>
            <w:r w:rsidR="00FC7319" w:rsidRPr="00A21619">
              <w:rPr>
                <w:rFonts w:cs="Times New Roman"/>
                <w:sz w:val="20"/>
                <w:szCs w:val="20"/>
              </w:rPr>
              <w:t xml:space="preserve">fraud </w:t>
            </w:r>
            <w:r w:rsidRPr="00A21619">
              <w:rPr>
                <w:rFonts w:cs="Times New Roman"/>
                <w:sz w:val="20"/>
                <w:szCs w:val="20"/>
              </w:rPr>
              <w:t>plan for 202</w:t>
            </w:r>
            <w:r w:rsidR="00322122" w:rsidRPr="00A21619">
              <w:rPr>
                <w:rFonts w:cs="Times New Roman"/>
                <w:sz w:val="20"/>
                <w:szCs w:val="20"/>
              </w:rPr>
              <w:t>2</w:t>
            </w:r>
            <w:r w:rsidRPr="00A21619">
              <w:rPr>
                <w:rFonts w:cs="Times New Roman"/>
                <w:sz w:val="20"/>
                <w:szCs w:val="20"/>
              </w:rPr>
              <w:t>/2</w:t>
            </w:r>
            <w:r w:rsidR="00322122" w:rsidRPr="00A21619">
              <w:rPr>
                <w:rFonts w:cs="Times New Roman"/>
                <w:sz w:val="20"/>
                <w:szCs w:val="20"/>
              </w:rPr>
              <w:t>3</w:t>
            </w:r>
            <w:r w:rsidR="002A18DF" w:rsidRPr="00A21619">
              <w:rPr>
                <w:rFonts w:cs="Times New Roman"/>
                <w:sz w:val="20"/>
                <w:szCs w:val="20"/>
              </w:rPr>
              <w:t xml:space="preserve">.  </w:t>
            </w:r>
            <w:r w:rsidR="00804882">
              <w:rPr>
                <w:rFonts w:cs="Times New Roman"/>
                <w:sz w:val="20"/>
                <w:szCs w:val="20"/>
              </w:rPr>
              <w:t>(</w:t>
            </w:r>
            <w:r w:rsidR="00F76F36">
              <w:rPr>
                <w:rFonts w:cs="Times New Roman"/>
                <w:sz w:val="20"/>
                <w:szCs w:val="20"/>
              </w:rPr>
              <w:t xml:space="preserve">See </w:t>
            </w:r>
            <w:r w:rsidR="00F631C6">
              <w:rPr>
                <w:rFonts w:cs="Times New Roman"/>
                <w:sz w:val="20"/>
                <w:szCs w:val="20"/>
              </w:rPr>
              <w:t>attached)</w:t>
            </w:r>
            <w:r w:rsidR="00804882">
              <w:rPr>
                <w:rFonts w:cs="Times New Roman"/>
                <w:sz w:val="20"/>
                <w:szCs w:val="20"/>
              </w:rPr>
              <w:t xml:space="preserve"> </w:t>
            </w:r>
            <w:r w:rsidR="00CA6ED9" w:rsidRPr="00A21619">
              <w:rPr>
                <w:rFonts w:cs="Times New Roman"/>
                <w:sz w:val="20"/>
                <w:szCs w:val="20"/>
              </w:rPr>
              <w:t>This was developed drawing on a number of sources of information including:-</w:t>
            </w:r>
          </w:p>
          <w:p w14:paraId="2ADA67C8" w14:textId="738D8AD6" w:rsidR="00CA6ED9" w:rsidRPr="00A21619" w:rsidRDefault="00CA6ED9" w:rsidP="701D1EDC">
            <w:pPr>
              <w:pStyle w:val="ListParagraph"/>
              <w:numPr>
                <w:ilvl w:val="1"/>
                <w:numId w:val="4"/>
              </w:numPr>
              <w:spacing w:after="160" w:line="259" w:lineRule="auto"/>
              <w:ind w:left="720" w:hanging="540"/>
              <w:contextualSpacing/>
              <w:rPr>
                <w:sz w:val="20"/>
                <w:szCs w:val="20"/>
              </w:rPr>
            </w:pPr>
            <w:r w:rsidRPr="00A21619">
              <w:rPr>
                <w:sz w:val="20"/>
                <w:szCs w:val="20"/>
              </w:rPr>
              <w:t xml:space="preserve">Fighting Fraud &amp; Corruption Locally 2020 (FFCL); a strategy for the 2020’s; </w:t>
            </w:r>
          </w:p>
          <w:p w14:paraId="337171AB" w14:textId="67D83F1C" w:rsidR="00CA6ED9" w:rsidRPr="00A21619" w:rsidRDefault="00CA6ED9" w:rsidP="701D1EDC">
            <w:pPr>
              <w:pStyle w:val="ListParagraph"/>
              <w:numPr>
                <w:ilvl w:val="1"/>
                <w:numId w:val="4"/>
              </w:numPr>
              <w:spacing w:after="160" w:line="259" w:lineRule="auto"/>
              <w:ind w:left="720" w:hanging="540"/>
              <w:contextualSpacing/>
              <w:rPr>
                <w:sz w:val="20"/>
                <w:szCs w:val="20"/>
              </w:rPr>
            </w:pPr>
            <w:r w:rsidRPr="00A21619">
              <w:rPr>
                <w:sz w:val="20"/>
                <w:szCs w:val="20"/>
              </w:rPr>
              <w:t>Local knowledge and intelligence about known fraud risks the authority faces and fraud cases identified during 202</w:t>
            </w:r>
            <w:r w:rsidR="00C84C81" w:rsidRPr="00A21619">
              <w:rPr>
                <w:sz w:val="20"/>
                <w:szCs w:val="20"/>
              </w:rPr>
              <w:t>1</w:t>
            </w:r>
            <w:r w:rsidRPr="00A21619">
              <w:rPr>
                <w:sz w:val="20"/>
                <w:szCs w:val="20"/>
              </w:rPr>
              <w:t>-2</w:t>
            </w:r>
            <w:r w:rsidR="00C84C81" w:rsidRPr="00A21619">
              <w:rPr>
                <w:sz w:val="20"/>
                <w:szCs w:val="20"/>
              </w:rPr>
              <w:t>2</w:t>
            </w:r>
            <w:r w:rsidRPr="00A21619">
              <w:rPr>
                <w:sz w:val="20"/>
                <w:szCs w:val="20"/>
              </w:rPr>
              <w:t xml:space="preserve"> and previous years; </w:t>
            </w:r>
          </w:p>
          <w:p w14:paraId="7083AC9C" w14:textId="10B7FEE5" w:rsidR="000636A8" w:rsidRPr="00A21619" w:rsidRDefault="000636A8" w:rsidP="701D1EDC">
            <w:pPr>
              <w:pStyle w:val="ListParagraph"/>
              <w:numPr>
                <w:ilvl w:val="1"/>
                <w:numId w:val="4"/>
              </w:numPr>
              <w:spacing w:after="160" w:line="259" w:lineRule="auto"/>
              <w:ind w:left="720" w:hanging="540"/>
              <w:contextualSpacing/>
              <w:rPr>
                <w:sz w:val="20"/>
                <w:szCs w:val="20"/>
              </w:rPr>
            </w:pPr>
            <w:r w:rsidRPr="00A21619">
              <w:rPr>
                <w:sz w:val="20"/>
                <w:szCs w:val="20"/>
              </w:rPr>
              <w:t>Regular discussions with the Head of Internal Audit and Interim Risk Manager to co-ordinate common interest work where possible;</w:t>
            </w:r>
          </w:p>
          <w:p w14:paraId="06E4DE26" w14:textId="77777777" w:rsidR="00CA6ED9" w:rsidRPr="00A21619" w:rsidRDefault="00CA6ED9" w:rsidP="701D1EDC">
            <w:pPr>
              <w:pStyle w:val="ListParagraph"/>
              <w:numPr>
                <w:ilvl w:val="1"/>
                <w:numId w:val="4"/>
              </w:numPr>
              <w:spacing w:after="160" w:line="259" w:lineRule="auto"/>
              <w:ind w:left="720" w:hanging="540"/>
              <w:contextualSpacing/>
              <w:rPr>
                <w:sz w:val="20"/>
                <w:szCs w:val="20"/>
              </w:rPr>
            </w:pPr>
            <w:r w:rsidRPr="00A21619">
              <w:rPr>
                <w:sz w:val="20"/>
                <w:szCs w:val="20"/>
              </w:rPr>
              <w:t xml:space="preserve">Review of fraud and corruption trends and patterns across the UK and more specifically London. </w:t>
            </w:r>
          </w:p>
          <w:p w14:paraId="152B1626" w14:textId="6F08D134" w:rsidR="00CA6ED9" w:rsidRPr="00A21619" w:rsidRDefault="00CA6ED9" w:rsidP="701D1EDC">
            <w:pPr>
              <w:pStyle w:val="ListParagraph"/>
              <w:numPr>
                <w:ilvl w:val="1"/>
                <w:numId w:val="4"/>
              </w:numPr>
              <w:spacing w:after="160" w:line="259" w:lineRule="auto"/>
              <w:ind w:left="720" w:hanging="540"/>
              <w:contextualSpacing/>
              <w:rPr>
                <w:sz w:val="20"/>
                <w:szCs w:val="20"/>
              </w:rPr>
            </w:pPr>
            <w:r w:rsidRPr="00A21619">
              <w:rPr>
                <w:sz w:val="20"/>
                <w:szCs w:val="20"/>
              </w:rPr>
              <w:t>Weekly Cifas Intelligence bulletins on Covid-19</w:t>
            </w:r>
            <w:r w:rsidR="000636A8" w:rsidRPr="00A21619">
              <w:rPr>
                <w:sz w:val="20"/>
                <w:szCs w:val="20"/>
              </w:rPr>
              <w:t>;</w:t>
            </w:r>
            <w:r w:rsidRPr="00A21619">
              <w:rPr>
                <w:sz w:val="20"/>
                <w:szCs w:val="20"/>
              </w:rPr>
              <w:t xml:space="preserve"> fraud risks, attendance at quarterly Cifas Local Authority Business Sector Working Group meetings and quarterly Cifas Organised Fraud Cross Sector Meetings</w:t>
            </w:r>
            <w:r w:rsidR="000636A8" w:rsidRPr="00A21619">
              <w:rPr>
                <w:sz w:val="20"/>
                <w:szCs w:val="20"/>
              </w:rPr>
              <w:t>;</w:t>
            </w:r>
          </w:p>
          <w:p w14:paraId="5C9C67AC" w14:textId="404EB219" w:rsidR="00CA6ED9" w:rsidRPr="00A21619" w:rsidRDefault="00CA6ED9" w:rsidP="701D1EDC">
            <w:pPr>
              <w:pStyle w:val="ListParagraph"/>
              <w:numPr>
                <w:ilvl w:val="1"/>
                <w:numId w:val="4"/>
              </w:numPr>
              <w:spacing w:after="160" w:line="259" w:lineRule="auto"/>
              <w:ind w:left="720" w:hanging="540"/>
              <w:contextualSpacing/>
              <w:rPr>
                <w:sz w:val="20"/>
                <w:szCs w:val="20"/>
              </w:rPr>
            </w:pPr>
            <w:r w:rsidRPr="00A21619">
              <w:rPr>
                <w:sz w:val="20"/>
                <w:szCs w:val="20"/>
              </w:rPr>
              <w:t>Regular NAFN bulletins received citing known fraud risks that members had been exposed to</w:t>
            </w:r>
            <w:r w:rsidR="000636A8" w:rsidRPr="00A21619">
              <w:rPr>
                <w:sz w:val="20"/>
                <w:szCs w:val="20"/>
              </w:rPr>
              <w:t>;</w:t>
            </w:r>
          </w:p>
          <w:p w14:paraId="4AA7075B" w14:textId="51EF46DA" w:rsidR="00183299" w:rsidRPr="00183299" w:rsidRDefault="00CA6ED9" w:rsidP="701D1EDC">
            <w:pPr>
              <w:pStyle w:val="ListParagraph"/>
              <w:numPr>
                <w:ilvl w:val="1"/>
                <w:numId w:val="4"/>
              </w:numPr>
              <w:spacing w:after="160" w:line="259" w:lineRule="auto"/>
              <w:ind w:left="720" w:hanging="540"/>
              <w:contextualSpacing/>
              <w:rPr>
                <w:sz w:val="20"/>
                <w:szCs w:val="20"/>
              </w:rPr>
            </w:pPr>
            <w:r w:rsidRPr="00A21619">
              <w:rPr>
                <w:sz w:val="20"/>
                <w:szCs w:val="20"/>
              </w:rPr>
              <w:t>Cabinet Office National Fraud Initiative (NFI) bulletins</w:t>
            </w:r>
            <w:r w:rsidR="000636A8" w:rsidRPr="00A21619">
              <w:rPr>
                <w:sz w:val="20"/>
                <w:szCs w:val="20"/>
              </w:rPr>
              <w:t xml:space="preserve"> with updates on high risk fraud areas</w:t>
            </w:r>
            <w:r w:rsidRPr="00A21619">
              <w:rPr>
                <w:sz w:val="20"/>
                <w:szCs w:val="20"/>
              </w:rPr>
              <w:t xml:space="preserve">  </w:t>
            </w:r>
          </w:p>
        </w:tc>
      </w:tr>
      <w:tr w:rsidR="0069329D" w:rsidRPr="0017605D" w14:paraId="27D4600E" w14:textId="77777777" w:rsidTr="701D1EDC">
        <w:trPr>
          <w:trHeight w:val="251"/>
        </w:trPr>
        <w:tc>
          <w:tcPr>
            <w:tcW w:w="570" w:type="dxa"/>
            <w:tcBorders>
              <w:top w:val="single" w:sz="4" w:space="0" w:color="auto"/>
              <w:left w:val="single" w:sz="4" w:space="0" w:color="auto"/>
              <w:bottom w:val="single" w:sz="4" w:space="0" w:color="auto"/>
              <w:right w:val="single" w:sz="4" w:space="0" w:color="auto"/>
            </w:tcBorders>
          </w:tcPr>
          <w:p w14:paraId="158D84C1" w14:textId="3124A534" w:rsidR="0069329D" w:rsidRDefault="00FD1D1E" w:rsidP="004E23DA">
            <w:pPr>
              <w:rPr>
                <w:sz w:val="20"/>
                <w:szCs w:val="20"/>
                <w:lang w:val="en-US"/>
              </w:rPr>
            </w:pPr>
            <w:r>
              <w:rPr>
                <w:sz w:val="20"/>
                <w:szCs w:val="20"/>
                <w:lang w:val="en-US"/>
              </w:rPr>
              <w:t>2</w:t>
            </w:r>
          </w:p>
        </w:tc>
        <w:tc>
          <w:tcPr>
            <w:tcW w:w="3967" w:type="dxa"/>
            <w:tcBorders>
              <w:top w:val="single" w:sz="4" w:space="0" w:color="auto"/>
              <w:left w:val="single" w:sz="4" w:space="0" w:color="auto"/>
              <w:bottom w:val="single" w:sz="4" w:space="0" w:color="auto"/>
              <w:right w:val="single" w:sz="4" w:space="0" w:color="auto"/>
            </w:tcBorders>
            <w:shd w:val="clear" w:color="auto" w:fill="auto"/>
            <w:noWrap/>
          </w:tcPr>
          <w:p w14:paraId="712A9C5A" w14:textId="77777777" w:rsidR="0069329D" w:rsidRPr="0017605D" w:rsidRDefault="0069329D" w:rsidP="004E23DA">
            <w:pPr>
              <w:rPr>
                <w:b/>
                <w:sz w:val="20"/>
                <w:szCs w:val="20"/>
                <w:lang w:val="en-US"/>
              </w:rPr>
            </w:pPr>
            <w:r w:rsidRPr="0017605D">
              <w:rPr>
                <w:b/>
                <w:sz w:val="20"/>
                <w:szCs w:val="20"/>
                <w:lang w:val="en-US"/>
              </w:rPr>
              <w:t>Corporate Anti-Fraud &amp; Corruption Strategy</w:t>
            </w:r>
          </w:p>
          <w:p w14:paraId="0ABD2A66" w14:textId="77777777" w:rsidR="0069329D" w:rsidRPr="0017605D" w:rsidRDefault="0069329D" w:rsidP="004E23DA">
            <w:pPr>
              <w:rPr>
                <w:b/>
                <w:sz w:val="20"/>
                <w:szCs w:val="20"/>
                <w:lang w:val="en-US"/>
              </w:rPr>
            </w:pPr>
          </w:p>
          <w:p w14:paraId="16104EB8" w14:textId="7768897A" w:rsidR="0069329D" w:rsidRPr="0017605D" w:rsidRDefault="00D80A33" w:rsidP="00456664">
            <w:pPr>
              <w:rPr>
                <w:strike/>
                <w:sz w:val="20"/>
                <w:szCs w:val="20"/>
                <w:lang w:val="en-US"/>
              </w:rPr>
            </w:pPr>
            <w:r w:rsidRPr="00502F8C">
              <w:rPr>
                <w:sz w:val="20"/>
                <w:szCs w:val="20"/>
                <w:lang w:val="en-US"/>
              </w:rPr>
              <w:t>Review the authorities’ Corporate Anti-Fraud &amp; Corruption Strategy</w:t>
            </w:r>
            <w:r>
              <w:rPr>
                <w:sz w:val="20"/>
                <w:szCs w:val="20"/>
                <w:lang w:val="en-US"/>
              </w:rPr>
              <w:t xml:space="preserve"> and update any action plan in year</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AA89D26" w14:textId="68282E29" w:rsidR="0069329D" w:rsidRPr="008D38C6" w:rsidRDefault="00930342" w:rsidP="004E23DA">
            <w:pPr>
              <w:rPr>
                <w:rFonts w:cs="Times New Roman"/>
                <w:b/>
                <w:sz w:val="20"/>
                <w:szCs w:val="20"/>
              </w:rPr>
            </w:pPr>
            <w:r>
              <w:rPr>
                <w:rFonts w:cs="Times New Roman"/>
                <w:b/>
                <w:sz w:val="20"/>
                <w:szCs w:val="20"/>
              </w:rPr>
              <w:t xml:space="preserve">Objective </w:t>
            </w:r>
            <w:r w:rsidR="00EF309E">
              <w:rPr>
                <w:rFonts w:cs="Times New Roman"/>
                <w:b/>
                <w:sz w:val="20"/>
                <w:szCs w:val="20"/>
              </w:rPr>
              <w:t>not achieved</w:t>
            </w:r>
            <w:r w:rsidR="008D38C6" w:rsidRPr="008D38C6">
              <w:rPr>
                <w:rFonts w:cs="Times New Roman"/>
                <w:b/>
                <w:sz w:val="20"/>
                <w:szCs w:val="20"/>
              </w:rPr>
              <w:t xml:space="preserve"> </w:t>
            </w:r>
          </w:p>
          <w:p w14:paraId="01A1660B" w14:textId="6B0D5821" w:rsidR="00A90C65" w:rsidRPr="00930342" w:rsidRDefault="00C071AA" w:rsidP="00362DD4">
            <w:pPr>
              <w:pStyle w:val="CommentText"/>
              <w:rPr>
                <w:rFonts w:cs="Times New Roman"/>
              </w:rPr>
            </w:pPr>
            <w:r w:rsidRPr="009A44A3">
              <w:rPr>
                <w:rFonts w:cs="Times New Roman"/>
              </w:rPr>
              <w:t xml:space="preserve">The strategy </w:t>
            </w:r>
            <w:r w:rsidR="00934188" w:rsidRPr="009A44A3">
              <w:rPr>
                <w:rFonts w:cs="Times New Roman"/>
              </w:rPr>
              <w:t xml:space="preserve">was </w:t>
            </w:r>
            <w:r w:rsidRPr="009A44A3">
              <w:rPr>
                <w:rFonts w:cs="Times New Roman"/>
              </w:rPr>
              <w:t xml:space="preserve">reviewed </w:t>
            </w:r>
            <w:r w:rsidR="00A21447" w:rsidRPr="009A44A3">
              <w:rPr>
                <w:rFonts w:cs="Times New Roman"/>
              </w:rPr>
              <w:t xml:space="preserve">and </w:t>
            </w:r>
            <w:r w:rsidR="00436A29" w:rsidRPr="009A44A3">
              <w:rPr>
                <w:rFonts w:cs="Times New Roman"/>
              </w:rPr>
              <w:t>refreshed</w:t>
            </w:r>
            <w:r w:rsidR="00A21447" w:rsidRPr="009A44A3">
              <w:rPr>
                <w:rFonts w:cs="Times New Roman"/>
              </w:rPr>
              <w:t xml:space="preserve"> </w:t>
            </w:r>
            <w:r w:rsidR="00F65B91" w:rsidRPr="009A44A3">
              <w:rPr>
                <w:rFonts w:cs="Times New Roman"/>
              </w:rPr>
              <w:t xml:space="preserve">and a draft version taken to GARMS in November 2022 for the Committee to </w:t>
            </w:r>
            <w:r w:rsidR="00A446B0" w:rsidRPr="009A44A3">
              <w:rPr>
                <w:rFonts w:cs="Times New Roman"/>
              </w:rPr>
              <w:t>review</w:t>
            </w:r>
            <w:r w:rsidR="00F65B91" w:rsidRPr="009A44A3">
              <w:rPr>
                <w:rFonts w:cs="Times New Roman"/>
              </w:rPr>
              <w:t>.  Further cons</w:t>
            </w:r>
            <w:r w:rsidR="001C2D3C" w:rsidRPr="009A44A3">
              <w:rPr>
                <w:rFonts w:cs="Times New Roman"/>
              </w:rPr>
              <w:t xml:space="preserve">ultation took place </w:t>
            </w:r>
            <w:r w:rsidR="00362DD4" w:rsidRPr="009A44A3">
              <w:rPr>
                <w:rFonts w:cs="Times New Roman"/>
              </w:rPr>
              <w:t xml:space="preserve">with </w:t>
            </w:r>
            <w:r w:rsidR="00754DD1" w:rsidRPr="009A44A3">
              <w:rPr>
                <w:rFonts w:cs="Times New Roman"/>
              </w:rPr>
              <w:t>all</w:t>
            </w:r>
            <w:r w:rsidR="00362DD4" w:rsidRPr="009A44A3">
              <w:rPr>
                <w:rFonts w:cs="Times New Roman"/>
              </w:rPr>
              <w:t xml:space="preserve"> Directorates</w:t>
            </w:r>
            <w:r w:rsidR="00153F21">
              <w:rPr>
                <w:rFonts w:cs="Times New Roman"/>
              </w:rPr>
              <w:t xml:space="preserve">  </w:t>
            </w:r>
            <w:r w:rsidR="001C2D3C" w:rsidRPr="009A44A3">
              <w:rPr>
                <w:rFonts w:cs="Times New Roman"/>
              </w:rPr>
              <w:t xml:space="preserve">subsequent to this and the final version </w:t>
            </w:r>
            <w:r w:rsidR="00953A15" w:rsidRPr="009A44A3">
              <w:rPr>
                <w:rFonts w:cs="Times New Roman"/>
              </w:rPr>
              <w:t xml:space="preserve">sign off </w:t>
            </w:r>
            <w:r w:rsidR="001C2D3C" w:rsidRPr="009A44A3">
              <w:rPr>
                <w:rFonts w:cs="Times New Roman"/>
              </w:rPr>
              <w:t>carried</w:t>
            </w:r>
            <w:r w:rsidR="00953A15" w:rsidRPr="009A44A3">
              <w:rPr>
                <w:rFonts w:cs="Times New Roman"/>
              </w:rPr>
              <w:t xml:space="preserve"> over into 202</w:t>
            </w:r>
            <w:r w:rsidR="00D01348" w:rsidRPr="009A44A3">
              <w:rPr>
                <w:rFonts w:cs="Times New Roman"/>
              </w:rPr>
              <w:t>3</w:t>
            </w:r>
            <w:r w:rsidR="3741AC40" w:rsidRPr="4514BC5D">
              <w:rPr>
                <w:rFonts w:cs="Times New Roman"/>
              </w:rPr>
              <w:t>/</w:t>
            </w:r>
            <w:r w:rsidR="00953A15" w:rsidRPr="009A44A3">
              <w:rPr>
                <w:rFonts w:cs="Times New Roman"/>
              </w:rPr>
              <w:t>24</w:t>
            </w:r>
            <w:r w:rsidR="00362DD4" w:rsidRPr="009A44A3">
              <w:rPr>
                <w:rFonts w:cs="Times New Roman"/>
              </w:rPr>
              <w:t xml:space="preserve">.  </w:t>
            </w:r>
            <w:r w:rsidR="001C2D3C" w:rsidRPr="009A44A3">
              <w:rPr>
                <w:rFonts w:cs="Times New Roman"/>
              </w:rPr>
              <w:t xml:space="preserve">  </w:t>
            </w:r>
          </w:p>
        </w:tc>
      </w:tr>
    </w:tbl>
    <w:p w14:paraId="76EFA325" w14:textId="488A5F04" w:rsidR="008C4269" w:rsidRDefault="008C4269"/>
    <w:tbl>
      <w:tblPr>
        <w:tblW w:w="10661" w:type="dxa"/>
        <w:tblInd w:w="-34" w:type="dxa"/>
        <w:tblLook w:val="0000" w:firstRow="0" w:lastRow="0" w:firstColumn="0" w:lastColumn="0" w:noHBand="0" w:noVBand="0"/>
      </w:tblPr>
      <w:tblGrid>
        <w:gridCol w:w="558"/>
        <w:gridCol w:w="4007"/>
        <w:gridCol w:w="6096"/>
      </w:tblGrid>
      <w:tr w:rsidR="701D1EDC" w14:paraId="472501C6" w14:textId="77777777" w:rsidTr="002049B4">
        <w:trPr>
          <w:trHeight w:val="5474"/>
        </w:trPr>
        <w:tc>
          <w:tcPr>
            <w:tcW w:w="558" w:type="dxa"/>
            <w:tcBorders>
              <w:top w:val="single" w:sz="4" w:space="0" w:color="auto"/>
              <w:left w:val="single" w:sz="4" w:space="0" w:color="auto"/>
              <w:bottom w:val="single" w:sz="4" w:space="0" w:color="auto"/>
              <w:right w:val="single" w:sz="4" w:space="0" w:color="auto"/>
            </w:tcBorders>
          </w:tcPr>
          <w:p w14:paraId="2918A5F3" w14:textId="355653E6" w:rsidR="701D1EDC" w:rsidRDefault="006E5D26" w:rsidP="701D1EDC">
            <w:pPr>
              <w:rPr>
                <w:sz w:val="20"/>
                <w:szCs w:val="20"/>
                <w:lang w:val="en-US"/>
              </w:rPr>
            </w:pPr>
            <w:r>
              <w:rPr>
                <w:sz w:val="20"/>
                <w:szCs w:val="20"/>
                <w:lang w:val="en-US"/>
              </w:rPr>
              <w:t>3</w:t>
            </w:r>
            <w:r w:rsidR="701D1EDC" w:rsidRPr="701D1EDC">
              <w:rPr>
                <w:sz w:val="20"/>
                <w:szCs w:val="20"/>
                <w:lang w:val="en-US"/>
              </w:rPr>
              <w:t>.</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1A817D0A" w14:textId="77777777" w:rsidR="701D1EDC" w:rsidRDefault="701D1EDC" w:rsidP="701D1EDC">
            <w:pPr>
              <w:rPr>
                <w:b/>
                <w:bCs/>
                <w:sz w:val="20"/>
                <w:szCs w:val="20"/>
                <w:lang w:val="en-US"/>
              </w:rPr>
            </w:pPr>
            <w:r w:rsidRPr="701D1EDC">
              <w:rPr>
                <w:b/>
                <w:bCs/>
                <w:sz w:val="20"/>
                <w:szCs w:val="20"/>
                <w:lang w:val="en-US"/>
              </w:rPr>
              <w:t>National Fraud Initiative co-ordination role</w:t>
            </w:r>
          </w:p>
          <w:p w14:paraId="34449212" w14:textId="77777777" w:rsidR="701D1EDC" w:rsidRDefault="701D1EDC" w:rsidP="701D1EDC">
            <w:pPr>
              <w:pStyle w:val="Default"/>
              <w:rPr>
                <w:sz w:val="20"/>
                <w:szCs w:val="20"/>
              </w:rPr>
            </w:pPr>
          </w:p>
          <w:p w14:paraId="39CB7661" w14:textId="6ABEC564" w:rsidR="701D1EDC" w:rsidRDefault="701D1EDC" w:rsidP="701D1EDC">
            <w:pPr>
              <w:rPr>
                <w:sz w:val="20"/>
                <w:szCs w:val="20"/>
                <w:lang w:val="en-US"/>
              </w:rPr>
            </w:pPr>
            <w:r w:rsidRPr="701D1EDC">
              <w:rPr>
                <w:sz w:val="20"/>
                <w:szCs w:val="20"/>
                <w:lang w:val="en-US"/>
              </w:rPr>
              <w:t>Co-ordination of the 2022/23 National Fraud Initiative (NFI) match</w:t>
            </w:r>
            <w:r w:rsidR="60258206" w:rsidRPr="701D1EDC">
              <w:rPr>
                <w:sz w:val="20"/>
                <w:szCs w:val="20"/>
                <w:lang w:val="en-US"/>
              </w:rPr>
              <w:t>ing</w:t>
            </w:r>
            <w:r w:rsidRPr="701D1EDC">
              <w:rPr>
                <w:sz w:val="20"/>
                <w:szCs w:val="20"/>
                <w:lang w:val="en-US"/>
              </w:rPr>
              <w:t xml:space="preserve"> process including:-</w:t>
            </w:r>
          </w:p>
          <w:p w14:paraId="227A9A7D" w14:textId="77777777" w:rsidR="701D1EDC" w:rsidRDefault="701D1EDC" w:rsidP="701D1EDC">
            <w:pPr>
              <w:pStyle w:val="ListParagraph"/>
              <w:numPr>
                <w:ilvl w:val="0"/>
                <w:numId w:val="8"/>
              </w:numPr>
              <w:ind w:left="450"/>
              <w:contextualSpacing/>
              <w:rPr>
                <w:sz w:val="20"/>
                <w:szCs w:val="20"/>
                <w:lang w:val="en-US"/>
              </w:rPr>
            </w:pPr>
            <w:r w:rsidRPr="701D1EDC">
              <w:rPr>
                <w:sz w:val="20"/>
                <w:szCs w:val="20"/>
              </w:rPr>
              <w:t>Ensuring the authority complies with fair processing guidelines required to submit data into the exercise in accordance with timescales so as to be compliant with GDP</w:t>
            </w:r>
          </w:p>
          <w:p w14:paraId="7FA0AE93" w14:textId="77777777" w:rsidR="701D1EDC" w:rsidRDefault="701D1EDC" w:rsidP="701D1EDC">
            <w:pPr>
              <w:pStyle w:val="ListParagraph"/>
              <w:numPr>
                <w:ilvl w:val="0"/>
                <w:numId w:val="8"/>
              </w:numPr>
              <w:ind w:left="450"/>
              <w:contextualSpacing/>
              <w:rPr>
                <w:sz w:val="20"/>
                <w:szCs w:val="20"/>
                <w:lang w:val="en-US"/>
              </w:rPr>
            </w:pPr>
            <w:r w:rsidRPr="701D1EDC">
              <w:rPr>
                <w:sz w:val="20"/>
                <w:szCs w:val="20"/>
              </w:rPr>
              <w:t>Supports service areas in extracting the data from core systems in the required specification in accordance with timescales</w:t>
            </w:r>
          </w:p>
          <w:p w14:paraId="1EC66981" w14:textId="77777777" w:rsidR="701D1EDC" w:rsidRDefault="701D1EDC" w:rsidP="701D1EDC">
            <w:pPr>
              <w:pStyle w:val="ListParagraph"/>
              <w:numPr>
                <w:ilvl w:val="0"/>
                <w:numId w:val="8"/>
              </w:numPr>
              <w:ind w:left="450"/>
              <w:contextualSpacing/>
              <w:rPr>
                <w:sz w:val="20"/>
                <w:szCs w:val="20"/>
                <w:lang w:val="en-US"/>
              </w:rPr>
            </w:pPr>
            <w:r w:rsidRPr="701D1EDC">
              <w:rPr>
                <w:sz w:val="20"/>
                <w:szCs w:val="20"/>
              </w:rPr>
              <w:t>Upload the data securely onto the Cabinet Office NFI portal and in accordance with timescales</w:t>
            </w:r>
          </w:p>
          <w:p w14:paraId="2DD3E3C0" w14:textId="73DAB45D" w:rsidR="701D1EDC" w:rsidRDefault="701D1EDC" w:rsidP="701D1EDC">
            <w:pPr>
              <w:pStyle w:val="Default"/>
              <w:numPr>
                <w:ilvl w:val="0"/>
                <w:numId w:val="8"/>
              </w:numPr>
              <w:ind w:left="450"/>
              <w:rPr>
                <w:sz w:val="20"/>
                <w:szCs w:val="20"/>
              </w:rPr>
            </w:pPr>
            <w:r w:rsidRPr="701D1EDC">
              <w:rPr>
                <w:sz w:val="20"/>
                <w:szCs w:val="20"/>
              </w:rPr>
              <w:t xml:space="preserve">Liaise with service areas when the </w:t>
            </w:r>
            <w:r w:rsidR="00A83E22" w:rsidRPr="701D1EDC">
              <w:rPr>
                <w:sz w:val="20"/>
                <w:szCs w:val="20"/>
              </w:rPr>
              <w:t>data matches</w:t>
            </w:r>
            <w:r w:rsidRPr="701D1EDC">
              <w:rPr>
                <w:sz w:val="20"/>
                <w:szCs w:val="20"/>
              </w:rPr>
              <w:t xml:space="preserve"> are released in January 2023 to ensure that action is commenced promptly on those matches that are deemed to be high risk </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25D7E34" w14:textId="1CC0E7A8" w:rsidR="701D1EDC" w:rsidRDefault="701D1EDC" w:rsidP="701D1EDC">
            <w:pPr>
              <w:rPr>
                <w:b/>
                <w:bCs/>
                <w:color w:val="000000" w:themeColor="text1"/>
                <w:sz w:val="20"/>
                <w:szCs w:val="20"/>
                <w:lang w:val="en-US"/>
              </w:rPr>
            </w:pPr>
            <w:r w:rsidRPr="701D1EDC">
              <w:rPr>
                <w:b/>
                <w:bCs/>
                <w:color w:val="000000" w:themeColor="text1"/>
                <w:sz w:val="20"/>
                <w:szCs w:val="20"/>
                <w:lang w:val="en-US"/>
              </w:rPr>
              <w:t xml:space="preserve">Objective achieved </w:t>
            </w:r>
          </w:p>
          <w:tbl>
            <w:tblPr>
              <w:tblW w:w="0" w:type="auto"/>
              <w:tblLook w:val="04A0" w:firstRow="1" w:lastRow="0" w:firstColumn="1" w:lastColumn="0" w:noHBand="0" w:noVBand="1"/>
            </w:tblPr>
            <w:tblGrid>
              <w:gridCol w:w="5520"/>
              <w:gridCol w:w="345"/>
            </w:tblGrid>
            <w:tr w:rsidR="701D1EDC" w14:paraId="5A1CD703" w14:textId="77777777" w:rsidTr="701D1EDC">
              <w:trPr>
                <w:trHeight w:val="300"/>
              </w:trPr>
              <w:tc>
                <w:tcPr>
                  <w:tcW w:w="5520" w:type="dxa"/>
                  <w:shd w:val="clear" w:color="auto" w:fill="auto"/>
                </w:tcPr>
                <w:p w14:paraId="0A1E98D3" w14:textId="6D17E990" w:rsidR="701D1EDC" w:rsidRDefault="701D1EDC" w:rsidP="701D1EDC">
                  <w:pPr>
                    <w:rPr>
                      <w:color w:val="FF0000"/>
                      <w:sz w:val="20"/>
                      <w:szCs w:val="20"/>
                    </w:rPr>
                  </w:pPr>
                </w:p>
              </w:tc>
              <w:tc>
                <w:tcPr>
                  <w:tcW w:w="345" w:type="dxa"/>
                  <w:shd w:val="clear" w:color="auto" w:fill="auto"/>
                </w:tcPr>
                <w:p w14:paraId="480A3A8B" w14:textId="77777777" w:rsidR="701D1EDC" w:rsidRDefault="701D1EDC" w:rsidP="701D1EDC">
                  <w:pPr>
                    <w:rPr>
                      <w:sz w:val="20"/>
                      <w:szCs w:val="20"/>
                    </w:rPr>
                  </w:pPr>
                </w:p>
              </w:tc>
            </w:tr>
            <w:tr w:rsidR="701D1EDC" w14:paraId="13B69CE2" w14:textId="77777777" w:rsidTr="701D1EDC">
              <w:trPr>
                <w:trHeight w:val="300"/>
              </w:trPr>
              <w:tc>
                <w:tcPr>
                  <w:tcW w:w="5520" w:type="dxa"/>
                  <w:shd w:val="clear" w:color="auto" w:fill="auto"/>
                </w:tcPr>
                <w:p w14:paraId="1BCC4827" w14:textId="77777777" w:rsidR="701D1EDC" w:rsidRDefault="701D1EDC" w:rsidP="701D1EDC">
                  <w:pPr>
                    <w:rPr>
                      <w:color w:val="FF0000"/>
                      <w:sz w:val="20"/>
                      <w:szCs w:val="20"/>
                    </w:rPr>
                  </w:pPr>
                </w:p>
              </w:tc>
              <w:tc>
                <w:tcPr>
                  <w:tcW w:w="345" w:type="dxa"/>
                  <w:shd w:val="clear" w:color="auto" w:fill="auto"/>
                </w:tcPr>
                <w:p w14:paraId="2E095B3D" w14:textId="77777777" w:rsidR="701D1EDC" w:rsidRDefault="701D1EDC" w:rsidP="701D1EDC">
                  <w:pPr>
                    <w:rPr>
                      <w:sz w:val="20"/>
                      <w:szCs w:val="20"/>
                    </w:rPr>
                  </w:pPr>
                </w:p>
              </w:tc>
            </w:tr>
            <w:tr w:rsidR="701D1EDC" w14:paraId="3B8BDE8D" w14:textId="77777777" w:rsidTr="701D1EDC">
              <w:trPr>
                <w:trHeight w:val="300"/>
              </w:trPr>
              <w:tc>
                <w:tcPr>
                  <w:tcW w:w="5520" w:type="dxa"/>
                  <w:shd w:val="clear" w:color="auto" w:fill="auto"/>
                </w:tcPr>
                <w:p w14:paraId="53BD6379" w14:textId="29E5562B" w:rsidR="701D1EDC" w:rsidRDefault="701D1EDC" w:rsidP="701D1EDC">
                  <w:pPr>
                    <w:rPr>
                      <w:color w:val="FF0000"/>
                      <w:sz w:val="20"/>
                      <w:szCs w:val="20"/>
                    </w:rPr>
                  </w:pPr>
                </w:p>
              </w:tc>
              <w:tc>
                <w:tcPr>
                  <w:tcW w:w="345" w:type="dxa"/>
                  <w:shd w:val="clear" w:color="auto" w:fill="auto"/>
                </w:tcPr>
                <w:p w14:paraId="7B97F979" w14:textId="77777777" w:rsidR="701D1EDC" w:rsidRDefault="701D1EDC" w:rsidP="701D1EDC">
                  <w:pPr>
                    <w:rPr>
                      <w:sz w:val="20"/>
                      <w:szCs w:val="20"/>
                    </w:rPr>
                  </w:pPr>
                </w:p>
              </w:tc>
            </w:tr>
            <w:tr w:rsidR="701D1EDC" w14:paraId="6A4D80B8" w14:textId="77777777" w:rsidTr="701D1EDC">
              <w:trPr>
                <w:trHeight w:val="300"/>
              </w:trPr>
              <w:tc>
                <w:tcPr>
                  <w:tcW w:w="5520" w:type="dxa"/>
                  <w:shd w:val="clear" w:color="auto" w:fill="auto"/>
                </w:tcPr>
                <w:p w14:paraId="266280AF" w14:textId="77777777" w:rsidR="701D1EDC" w:rsidRDefault="701D1EDC" w:rsidP="701D1EDC">
                  <w:pPr>
                    <w:rPr>
                      <w:sz w:val="20"/>
                      <w:szCs w:val="20"/>
                    </w:rPr>
                  </w:pPr>
                </w:p>
              </w:tc>
              <w:tc>
                <w:tcPr>
                  <w:tcW w:w="345" w:type="dxa"/>
                  <w:shd w:val="clear" w:color="auto" w:fill="auto"/>
                </w:tcPr>
                <w:p w14:paraId="36E54D05" w14:textId="77777777" w:rsidR="701D1EDC" w:rsidRDefault="701D1EDC" w:rsidP="701D1EDC">
                  <w:pPr>
                    <w:rPr>
                      <w:sz w:val="20"/>
                      <w:szCs w:val="20"/>
                    </w:rPr>
                  </w:pPr>
                </w:p>
              </w:tc>
            </w:tr>
            <w:tr w:rsidR="701D1EDC" w14:paraId="4B47D5D2" w14:textId="77777777" w:rsidTr="701D1EDC">
              <w:trPr>
                <w:trHeight w:val="300"/>
              </w:trPr>
              <w:tc>
                <w:tcPr>
                  <w:tcW w:w="5520" w:type="dxa"/>
                  <w:shd w:val="clear" w:color="auto" w:fill="auto"/>
                </w:tcPr>
                <w:p w14:paraId="35D421D3" w14:textId="3B6162BF" w:rsidR="0CE0C4B6" w:rsidRDefault="0CE0C4B6" w:rsidP="701D1EDC">
                  <w:pPr>
                    <w:rPr>
                      <w:color w:val="000000" w:themeColor="text1"/>
                      <w:sz w:val="20"/>
                      <w:szCs w:val="20"/>
                      <w:lang w:val="en-US"/>
                    </w:rPr>
                  </w:pPr>
                  <w:r w:rsidRPr="701D1EDC">
                    <w:rPr>
                      <w:color w:val="000000" w:themeColor="text1"/>
                      <w:sz w:val="20"/>
                      <w:szCs w:val="20"/>
                      <w:lang w:val="en-US"/>
                    </w:rPr>
                    <w:t>Compliance with the fair processing notices was all complete to specification and deadline.</w:t>
                  </w:r>
                </w:p>
                <w:p w14:paraId="2EEC466E" w14:textId="77777777" w:rsidR="701D1EDC" w:rsidRDefault="701D1EDC" w:rsidP="701D1EDC">
                  <w:pPr>
                    <w:pStyle w:val="ListParagraph"/>
                    <w:rPr>
                      <w:color w:val="000000" w:themeColor="text1"/>
                      <w:sz w:val="20"/>
                      <w:szCs w:val="20"/>
                      <w:lang w:val="en-US"/>
                    </w:rPr>
                  </w:pPr>
                </w:p>
                <w:p w14:paraId="4658170C" w14:textId="65B74136" w:rsidR="701D1EDC" w:rsidRDefault="701D1EDC" w:rsidP="701D1EDC">
                  <w:pPr>
                    <w:rPr>
                      <w:b/>
                      <w:bCs/>
                      <w:sz w:val="20"/>
                      <w:szCs w:val="20"/>
                    </w:rPr>
                  </w:pPr>
                </w:p>
              </w:tc>
              <w:tc>
                <w:tcPr>
                  <w:tcW w:w="345" w:type="dxa"/>
                  <w:shd w:val="clear" w:color="auto" w:fill="auto"/>
                </w:tcPr>
                <w:p w14:paraId="4EAE836D" w14:textId="77777777" w:rsidR="701D1EDC" w:rsidRDefault="701D1EDC" w:rsidP="701D1EDC">
                  <w:pPr>
                    <w:rPr>
                      <w:b/>
                      <w:bCs/>
                      <w:sz w:val="20"/>
                      <w:szCs w:val="20"/>
                    </w:rPr>
                  </w:pPr>
                </w:p>
              </w:tc>
            </w:tr>
            <w:tr w:rsidR="701D1EDC" w14:paraId="55739248" w14:textId="77777777" w:rsidTr="701D1EDC">
              <w:trPr>
                <w:trHeight w:val="80"/>
              </w:trPr>
              <w:tc>
                <w:tcPr>
                  <w:tcW w:w="5520" w:type="dxa"/>
                  <w:shd w:val="clear" w:color="auto" w:fill="auto"/>
                </w:tcPr>
                <w:p w14:paraId="7237DD0D" w14:textId="77777777" w:rsidR="701D1EDC" w:rsidRDefault="701D1EDC" w:rsidP="701D1EDC">
                  <w:pPr>
                    <w:rPr>
                      <w:b/>
                      <w:bCs/>
                      <w:sz w:val="20"/>
                      <w:szCs w:val="20"/>
                    </w:rPr>
                  </w:pPr>
                </w:p>
              </w:tc>
              <w:tc>
                <w:tcPr>
                  <w:tcW w:w="345" w:type="dxa"/>
                  <w:shd w:val="clear" w:color="auto" w:fill="auto"/>
                </w:tcPr>
                <w:p w14:paraId="579088CF" w14:textId="77777777" w:rsidR="701D1EDC" w:rsidRDefault="701D1EDC" w:rsidP="701D1EDC">
                  <w:pPr>
                    <w:rPr>
                      <w:b/>
                      <w:bCs/>
                      <w:sz w:val="20"/>
                      <w:szCs w:val="20"/>
                    </w:rPr>
                  </w:pPr>
                </w:p>
              </w:tc>
            </w:tr>
          </w:tbl>
          <w:p w14:paraId="134CB50C" w14:textId="771E6156" w:rsidR="701D1EDC" w:rsidRDefault="701D1EDC" w:rsidP="701D1EDC">
            <w:pPr>
              <w:rPr>
                <w:color w:val="000000" w:themeColor="text1"/>
                <w:sz w:val="20"/>
                <w:szCs w:val="20"/>
                <w:lang w:val="en-US"/>
              </w:rPr>
            </w:pPr>
            <w:r w:rsidRPr="701D1EDC">
              <w:rPr>
                <w:color w:val="000000" w:themeColor="text1"/>
                <w:sz w:val="20"/>
                <w:szCs w:val="20"/>
                <w:lang w:val="en-US"/>
              </w:rPr>
              <w:t>Support provided to all service areas and all data sets were checked and complied with the data specification.</w:t>
            </w:r>
          </w:p>
          <w:p w14:paraId="27369A43" w14:textId="77777777" w:rsidR="701D1EDC" w:rsidRDefault="701D1EDC" w:rsidP="701D1EDC">
            <w:pPr>
              <w:rPr>
                <w:color w:val="000000" w:themeColor="text1"/>
                <w:sz w:val="20"/>
                <w:szCs w:val="20"/>
                <w:lang w:val="en-US"/>
              </w:rPr>
            </w:pPr>
          </w:p>
          <w:p w14:paraId="2E17171B" w14:textId="77777777" w:rsidR="701D1EDC" w:rsidRDefault="701D1EDC" w:rsidP="701D1EDC">
            <w:pPr>
              <w:rPr>
                <w:color w:val="000000" w:themeColor="text1"/>
                <w:sz w:val="20"/>
                <w:szCs w:val="20"/>
                <w:lang w:val="en-US"/>
              </w:rPr>
            </w:pPr>
          </w:p>
          <w:p w14:paraId="0E8B8F18" w14:textId="6FA294A0" w:rsidR="701D1EDC" w:rsidRDefault="701D1EDC" w:rsidP="701D1EDC">
            <w:pPr>
              <w:rPr>
                <w:color w:val="000000" w:themeColor="text1"/>
                <w:sz w:val="20"/>
                <w:szCs w:val="20"/>
                <w:lang w:val="en-US"/>
              </w:rPr>
            </w:pPr>
            <w:r w:rsidRPr="701D1EDC">
              <w:rPr>
                <w:color w:val="000000" w:themeColor="text1"/>
                <w:sz w:val="20"/>
                <w:szCs w:val="20"/>
                <w:lang w:val="en-US"/>
              </w:rPr>
              <w:t>All required data was uploaded securely to the Cabinet Office website by the deadline.</w:t>
            </w:r>
          </w:p>
          <w:p w14:paraId="4D6C479A" w14:textId="77777777" w:rsidR="701D1EDC" w:rsidRDefault="701D1EDC" w:rsidP="701D1EDC">
            <w:pPr>
              <w:rPr>
                <w:color w:val="000000" w:themeColor="text1"/>
                <w:sz w:val="20"/>
                <w:szCs w:val="20"/>
                <w:lang w:val="en-US"/>
              </w:rPr>
            </w:pPr>
          </w:p>
          <w:p w14:paraId="3593B331" w14:textId="26D00890" w:rsidR="701D1EDC" w:rsidRDefault="701D1EDC" w:rsidP="701D1EDC">
            <w:pPr>
              <w:rPr>
                <w:b/>
                <w:bCs/>
                <w:color w:val="000000" w:themeColor="text1"/>
                <w:sz w:val="20"/>
                <w:szCs w:val="20"/>
                <w:lang w:val="en-US"/>
              </w:rPr>
            </w:pPr>
            <w:r w:rsidRPr="701D1EDC">
              <w:rPr>
                <w:color w:val="000000" w:themeColor="text1"/>
                <w:sz w:val="20"/>
                <w:szCs w:val="20"/>
                <w:lang w:val="en-US"/>
              </w:rPr>
              <w:t>This phase of the project is underway and more detail around outcomes will be provided in the mid-year and year-end reports in 2023</w:t>
            </w:r>
            <w:r w:rsidR="19EDAFD9" w:rsidRPr="4514BC5D">
              <w:rPr>
                <w:color w:val="000000" w:themeColor="text1"/>
                <w:sz w:val="20"/>
                <w:szCs w:val="20"/>
                <w:lang w:val="en-US"/>
              </w:rPr>
              <w:t>/</w:t>
            </w:r>
            <w:r w:rsidRPr="701D1EDC">
              <w:rPr>
                <w:color w:val="000000" w:themeColor="text1"/>
                <w:sz w:val="20"/>
                <w:szCs w:val="20"/>
                <w:lang w:val="en-US"/>
              </w:rPr>
              <w:t>24.</w:t>
            </w:r>
          </w:p>
        </w:tc>
      </w:tr>
    </w:tbl>
    <w:p w14:paraId="1975CB70" w14:textId="0EFF9570" w:rsidR="008C4269" w:rsidRDefault="008C4269"/>
    <w:tbl>
      <w:tblPr>
        <w:tblW w:w="10632" w:type="dxa"/>
        <w:tblInd w:w="-34" w:type="dxa"/>
        <w:tblLayout w:type="fixed"/>
        <w:tblLook w:val="0000" w:firstRow="0" w:lastRow="0" w:firstColumn="0" w:lastColumn="0" w:noHBand="0" w:noVBand="0"/>
      </w:tblPr>
      <w:tblGrid>
        <w:gridCol w:w="576"/>
        <w:gridCol w:w="3961"/>
        <w:gridCol w:w="6095"/>
      </w:tblGrid>
      <w:tr w:rsidR="00887E43" w:rsidRPr="0075312F" w14:paraId="3FF87C84" w14:textId="77777777" w:rsidTr="00B70289">
        <w:trPr>
          <w:trHeight w:val="251"/>
        </w:trPr>
        <w:tc>
          <w:tcPr>
            <w:tcW w:w="576" w:type="dxa"/>
            <w:tcBorders>
              <w:top w:val="single" w:sz="4" w:space="0" w:color="auto"/>
              <w:left w:val="single" w:sz="4" w:space="0" w:color="auto"/>
              <w:bottom w:val="single" w:sz="4" w:space="0" w:color="auto"/>
              <w:right w:val="single" w:sz="4" w:space="0" w:color="auto"/>
            </w:tcBorders>
          </w:tcPr>
          <w:p w14:paraId="24501F33" w14:textId="6AB914A1" w:rsidR="00887E43" w:rsidRDefault="00603AE6" w:rsidP="007816FE">
            <w:pPr>
              <w:rPr>
                <w:sz w:val="20"/>
                <w:szCs w:val="20"/>
                <w:lang w:val="en-US"/>
              </w:rPr>
            </w:pPr>
            <w:r>
              <w:rPr>
                <w:sz w:val="20"/>
                <w:szCs w:val="20"/>
                <w:lang w:val="en-US"/>
              </w:rPr>
              <w:t>4.</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30C9A917" w14:textId="70C11676" w:rsidR="00887E43" w:rsidRPr="00887E43" w:rsidRDefault="00887E43" w:rsidP="00887E43">
            <w:pPr>
              <w:pStyle w:val="Default"/>
              <w:rPr>
                <w:b/>
                <w:sz w:val="20"/>
                <w:szCs w:val="20"/>
              </w:rPr>
            </w:pPr>
            <w:r w:rsidRPr="00887E43">
              <w:rPr>
                <w:b/>
                <w:sz w:val="20"/>
                <w:szCs w:val="20"/>
              </w:rPr>
              <w:t xml:space="preserve">Cifas </w:t>
            </w:r>
            <w:r w:rsidR="00510B93">
              <w:rPr>
                <w:b/>
                <w:sz w:val="20"/>
                <w:szCs w:val="20"/>
              </w:rPr>
              <w:t>project</w:t>
            </w:r>
            <w:r w:rsidRPr="00887E43">
              <w:rPr>
                <w:b/>
                <w:sz w:val="20"/>
                <w:szCs w:val="20"/>
              </w:rPr>
              <w:t xml:space="preserve"> </w:t>
            </w:r>
          </w:p>
          <w:p w14:paraId="4368AEB9" w14:textId="77777777" w:rsidR="00887E43" w:rsidRDefault="00887E43" w:rsidP="007816FE">
            <w:pPr>
              <w:rPr>
                <w:b/>
                <w:sz w:val="20"/>
                <w:szCs w:val="20"/>
                <w:lang w:val="en-US"/>
              </w:rPr>
            </w:pPr>
          </w:p>
          <w:p w14:paraId="77A2A484" w14:textId="77777777" w:rsidR="00313B93" w:rsidRPr="00502F8C" w:rsidRDefault="00313B93" w:rsidP="00313B93">
            <w:pPr>
              <w:rPr>
                <w:sz w:val="20"/>
                <w:szCs w:val="20"/>
                <w:lang w:val="en-US"/>
              </w:rPr>
            </w:pPr>
            <w:r w:rsidRPr="00502F8C">
              <w:rPr>
                <w:sz w:val="20"/>
                <w:szCs w:val="20"/>
                <w:lang w:val="en-US"/>
              </w:rPr>
              <w:t xml:space="preserve">Continue to maximise membership of Cifas </w:t>
            </w:r>
            <w:r>
              <w:rPr>
                <w:sz w:val="20"/>
                <w:szCs w:val="20"/>
                <w:lang w:val="en-US"/>
              </w:rPr>
              <w:t xml:space="preserve">to </w:t>
            </w:r>
            <w:r w:rsidRPr="00502F8C">
              <w:rPr>
                <w:sz w:val="20"/>
                <w:szCs w:val="20"/>
                <w:lang w:val="en-US"/>
              </w:rPr>
              <w:t xml:space="preserve">support fraud investigation work </w:t>
            </w:r>
            <w:r>
              <w:rPr>
                <w:sz w:val="20"/>
                <w:szCs w:val="20"/>
                <w:lang w:val="en-US"/>
              </w:rPr>
              <w:t>undertaking a proactive drive using the National Fraud Database (NFD)</w:t>
            </w:r>
          </w:p>
          <w:p w14:paraId="5C9C5357" w14:textId="77777777" w:rsidR="00887E43" w:rsidRPr="007C6042" w:rsidRDefault="00887E43" w:rsidP="00893FBA">
            <w:pPr>
              <w:pStyle w:val="Default"/>
              <w:rPr>
                <w:b/>
                <w:sz w:val="20"/>
                <w:szCs w:val="20"/>
                <w:lang w:val="en-US"/>
              </w:rPr>
            </w:pPr>
          </w:p>
        </w:tc>
        <w:tc>
          <w:tcPr>
            <w:tcW w:w="6095" w:type="dxa"/>
            <w:tcBorders>
              <w:top w:val="single" w:sz="4" w:space="0" w:color="auto"/>
              <w:left w:val="nil"/>
              <w:bottom w:val="single" w:sz="4" w:space="0" w:color="auto"/>
              <w:right w:val="single" w:sz="4" w:space="0" w:color="auto"/>
            </w:tcBorders>
            <w:shd w:val="clear" w:color="auto" w:fill="auto"/>
          </w:tcPr>
          <w:p w14:paraId="74361861" w14:textId="7B1D9513" w:rsidR="00887E43" w:rsidRPr="00584138" w:rsidRDefault="002D380A" w:rsidP="00EE6ACD">
            <w:pPr>
              <w:rPr>
                <w:b/>
                <w:bCs/>
                <w:sz w:val="20"/>
                <w:szCs w:val="20"/>
              </w:rPr>
            </w:pPr>
            <w:r w:rsidRPr="00584138">
              <w:rPr>
                <w:b/>
                <w:bCs/>
                <w:sz w:val="20"/>
                <w:szCs w:val="20"/>
              </w:rPr>
              <w:t xml:space="preserve">Objective </w:t>
            </w:r>
            <w:r w:rsidR="00B05623" w:rsidRPr="00584138">
              <w:rPr>
                <w:b/>
                <w:bCs/>
                <w:sz w:val="20"/>
                <w:szCs w:val="20"/>
              </w:rPr>
              <w:t xml:space="preserve">partially </w:t>
            </w:r>
            <w:r w:rsidR="008F099F" w:rsidRPr="00584138">
              <w:rPr>
                <w:b/>
                <w:bCs/>
                <w:sz w:val="20"/>
                <w:szCs w:val="20"/>
              </w:rPr>
              <w:t>achieved</w:t>
            </w:r>
            <w:r w:rsidR="000A550C" w:rsidRPr="00584138">
              <w:rPr>
                <w:b/>
                <w:bCs/>
                <w:sz w:val="20"/>
                <w:szCs w:val="20"/>
              </w:rPr>
              <w:t xml:space="preserve"> </w:t>
            </w:r>
          </w:p>
          <w:p w14:paraId="5A523108" w14:textId="77777777" w:rsidR="00861945" w:rsidRPr="00584138" w:rsidRDefault="00861945" w:rsidP="00FE08E9">
            <w:pPr>
              <w:rPr>
                <w:sz w:val="20"/>
                <w:szCs w:val="20"/>
              </w:rPr>
            </w:pPr>
          </w:p>
          <w:p w14:paraId="1B71EF8F" w14:textId="74F1C497" w:rsidR="00827640" w:rsidRPr="00584138" w:rsidRDefault="004C2075" w:rsidP="00A45A68">
            <w:pPr>
              <w:rPr>
                <w:sz w:val="20"/>
                <w:szCs w:val="20"/>
              </w:rPr>
            </w:pPr>
            <w:r w:rsidRPr="00584138">
              <w:rPr>
                <w:sz w:val="20"/>
                <w:szCs w:val="20"/>
              </w:rPr>
              <w:t>A</w:t>
            </w:r>
            <w:r w:rsidR="00030A45" w:rsidRPr="00584138">
              <w:rPr>
                <w:sz w:val="20"/>
                <w:szCs w:val="20"/>
              </w:rPr>
              <w:t xml:space="preserve">ll referrals received </w:t>
            </w:r>
            <w:r w:rsidR="004E2E56" w:rsidRPr="00584138">
              <w:rPr>
                <w:sz w:val="20"/>
                <w:szCs w:val="20"/>
              </w:rPr>
              <w:t xml:space="preserve">by the team </w:t>
            </w:r>
            <w:r w:rsidR="009E6B85" w:rsidRPr="00584138">
              <w:rPr>
                <w:sz w:val="20"/>
                <w:szCs w:val="20"/>
              </w:rPr>
              <w:t xml:space="preserve">were </w:t>
            </w:r>
            <w:r w:rsidR="00030A45" w:rsidRPr="00584138">
              <w:rPr>
                <w:sz w:val="20"/>
                <w:szCs w:val="20"/>
              </w:rPr>
              <w:t>checked on the National Fraud Database</w:t>
            </w:r>
            <w:r w:rsidR="009E6B85" w:rsidRPr="00584138">
              <w:rPr>
                <w:sz w:val="20"/>
                <w:szCs w:val="20"/>
              </w:rPr>
              <w:t xml:space="preserve"> </w:t>
            </w:r>
            <w:r w:rsidR="004844D6" w:rsidRPr="00584138">
              <w:rPr>
                <w:sz w:val="20"/>
                <w:szCs w:val="20"/>
              </w:rPr>
              <w:t>and any positive hits added to the case intelligence</w:t>
            </w:r>
            <w:r w:rsidR="001E3190" w:rsidRPr="00584138">
              <w:rPr>
                <w:sz w:val="20"/>
                <w:szCs w:val="20"/>
              </w:rPr>
              <w:t xml:space="preserve"> notes</w:t>
            </w:r>
            <w:r w:rsidR="00715692" w:rsidRPr="00584138">
              <w:rPr>
                <w:sz w:val="20"/>
                <w:szCs w:val="20"/>
              </w:rPr>
              <w:t>.</w:t>
            </w:r>
            <w:r w:rsidR="003B3944" w:rsidRPr="00584138">
              <w:rPr>
                <w:sz w:val="20"/>
                <w:szCs w:val="20"/>
              </w:rPr>
              <w:t xml:space="preserve">  </w:t>
            </w:r>
            <w:r w:rsidR="00203F4A" w:rsidRPr="00584138">
              <w:rPr>
                <w:sz w:val="20"/>
                <w:szCs w:val="20"/>
              </w:rPr>
              <w:t xml:space="preserve">Checking 100% fraud referrals on the NFD is another source of intelligence that may alert </w:t>
            </w:r>
            <w:r w:rsidR="00D71F85" w:rsidRPr="00584138">
              <w:rPr>
                <w:sz w:val="20"/>
                <w:szCs w:val="20"/>
              </w:rPr>
              <w:t>the</w:t>
            </w:r>
            <w:r w:rsidR="005C444F" w:rsidRPr="00584138">
              <w:rPr>
                <w:sz w:val="20"/>
                <w:szCs w:val="20"/>
              </w:rPr>
              <w:t xml:space="preserve"> authority</w:t>
            </w:r>
            <w:r w:rsidR="00D71F85" w:rsidRPr="00584138">
              <w:rPr>
                <w:sz w:val="20"/>
                <w:szCs w:val="20"/>
              </w:rPr>
              <w:t xml:space="preserve"> to a risk that would otherwise not have been known.</w:t>
            </w:r>
            <w:r w:rsidR="00884266" w:rsidRPr="00584138">
              <w:rPr>
                <w:sz w:val="20"/>
                <w:szCs w:val="20"/>
              </w:rPr>
              <w:t xml:space="preserve">  It also provides</w:t>
            </w:r>
            <w:r w:rsidR="0059152E" w:rsidRPr="00584138">
              <w:rPr>
                <w:sz w:val="20"/>
                <w:szCs w:val="20"/>
              </w:rPr>
              <w:t xml:space="preserve"> the authority with </w:t>
            </w:r>
            <w:r w:rsidR="00884266" w:rsidRPr="00584138">
              <w:rPr>
                <w:sz w:val="20"/>
                <w:szCs w:val="20"/>
              </w:rPr>
              <w:t xml:space="preserve">assurance </w:t>
            </w:r>
            <w:r w:rsidR="0059152E" w:rsidRPr="00584138">
              <w:rPr>
                <w:sz w:val="20"/>
                <w:szCs w:val="20"/>
              </w:rPr>
              <w:t xml:space="preserve">if no trace is found that </w:t>
            </w:r>
            <w:r w:rsidR="00FE0BF0">
              <w:rPr>
                <w:sz w:val="20"/>
                <w:szCs w:val="20"/>
              </w:rPr>
              <w:t xml:space="preserve">a </w:t>
            </w:r>
            <w:r w:rsidR="0059152E" w:rsidRPr="00584138">
              <w:rPr>
                <w:sz w:val="20"/>
                <w:szCs w:val="20"/>
              </w:rPr>
              <w:t>subject</w:t>
            </w:r>
            <w:r w:rsidR="00B23979" w:rsidRPr="00584138">
              <w:rPr>
                <w:sz w:val="20"/>
                <w:szCs w:val="20"/>
              </w:rPr>
              <w:t xml:space="preserve"> has not defrauded another member organisation.</w:t>
            </w:r>
            <w:r w:rsidR="0059152E" w:rsidRPr="00584138">
              <w:rPr>
                <w:sz w:val="20"/>
                <w:szCs w:val="20"/>
              </w:rPr>
              <w:t xml:space="preserve">  </w:t>
            </w:r>
            <w:r w:rsidR="002957A8" w:rsidRPr="00584138">
              <w:rPr>
                <w:sz w:val="20"/>
                <w:szCs w:val="20"/>
              </w:rPr>
              <w:t xml:space="preserve">  </w:t>
            </w:r>
            <w:r w:rsidR="00872A53" w:rsidRPr="00584138">
              <w:rPr>
                <w:sz w:val="20"/>
                <w:szCs w:val="20"/>
              </w:rPr>
              <w:t xml:space="preserve">  </w:t>
            </w:r>
          </w:p>
          <w:p w14:paraId="741328B2" w14:textId="77777777" w:rsidR="00B05623" w:rsidRPr="00584138" w:rsidRDefault="00B05623" w:rsidP="00A45A68">
            <w:pPr>
              <w:rPr>
                <w:sz w:val="20"/>
                <w:szCs w:val="20"/>
              </w:rPr>
            </w:pPr>
          </w:p>
          <w:p w14:paraId="13FBDA75" w14:textId="7069D085" w:rsidR="00893FBA" w:rsidRPr="00603AE6" w:rsidRDefault="00B05623" w:rsidP="00463388">
            <w:pPr>
              <w:rPr>
                <w:sz w:val="20"/>
                <w:szCs w:val="20"/>
              </w:rPr>
            </w:pPr>
            <w:r w:rsidRPr="00584138">
              <w:rPr>
                <w:sz w:val="20"/>
                <w:szCs w:val="20"/>
              </w:rPr>
              <w:t xml:space="preserve">A proactive drive </w:t>
            </w:r>
            <w:r w:rsidR="00B23979" w:rsidRPr="00584138">
              <w:rPr>
                <w:sz w:val="20"/>
                <w:szCs w:val="20"/>
              </w:rPr>
              <w:t xml:space="preserve">using the NFD </w:t>
            </w:r>
            <w:r w:rsidRPr="00584138">
              <w:rPr>
                <w:sz w:val="20"/>
                <w:szCs w:val="20"/>
              </w:rPr>
              <w:t xml:space="preserve">was not undertaken </w:t>
            </w:r>
            <w:r w:rsidR="009F6BBC" w:rsidRPr="00584138">
              <w:rPr>
                <w:sz w:val="20"/>
                <w:szCs w:val="20"/>
              </w:rPr>
              <w:t>due to</w:t>
            </w:r>
            <w:r w:rsidR="00FE0BF0">
              <w:rPr>
                <w:sz w:val="20"/>
                <w:szCs w:val="20"/>
              </w:rPr>
              <w:t xml:space="preserve"> high </w:t>
            </w:r>
            <w:r w:rsidR="00B23979" w:rsidRPr="00584138">
              <w:rPr>
                <w:sz w:val="20"/>
                <w:szCs w:val="20"/>
              </w:rPr>
              <w:t xml:space="preserve"> workload </w:t>
            </w:r>
            <w:r w:rsidR="00B0226C" w:rsidRPr="00584138">
              <w:rPr>
                <w:sz w:val="20"/>
                <w:szCs w:val="20"/>
              </w:rPr>
              <w:t xml:space="preserve">and other higher priority reactive work having to be processed.  </w:t>
            </w:r>
            <w:r w:rsidR="00D71F85" w:rsidRPr="00584138">
              <w:rPr>
                <w:sz w:val="20"/>
                <w:szCs w:val="20"/>
              </w:rPr>
              <w:t xml:space="preserve">  </w:t>
            </w:r>
          </w:p>
        </w:tc>
      </w:tr>
      <w:tr w:rsidR="00603AE6" w:rsidRPr="0075312F" w14:paraId="40ACE695" w14:textId="77777777" w:rsidTr="00B70289">
        <w:trPr>
          <w:trHeight w:val="251"/>
        </w:trPr>
        <w:tc>
          <w:tcPr>
            <w:tcW w:w="576" w:type="dxa"/>
            <w:tcBorders>
              <w:top w:val="single" w:sz="4" w:space="0" w:color="auto"/>
              <w:left w:val="single" w:sz="4" w:space="0" w:color="auto"/>
              <w:bottom w:val="single" w:sz="4" w:space="0" w:color="auto"/>
              <w:right w:val="single" w:sz="4" w:space="0" w:color="auto"/>
            </w:tcBorders>
          </w:tcPr>
          <w:p w14:paraId="210F61EF" w14:textId="346D0AD7" w:rsidR="00603AE6" w:rsidRDefault="00603AE6" w:rsidP="007816FE">
            <w:pPr>
              <w:rPr>
                <w:sz w:val="20"/>
                <w:szCs w:val="20"/>
                <w:lang w:val="en-US"/>
              </w:rPr>
            </w:pPr>
            <w:r>
              <w:rPr>
                <w:sz w:val="20"/>
                <w:szCs w:val="20"/>
                <w:lang w:val="en-US"/>
              </w:rPr>
              <w:t>5.</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72E9CC5F" w14:textId="77777777" w:rsidR="00603AE6" w:rsidRDefault="00AF2045" w:rsidP="00887E43">
            <w:pPr>
              <w:pStyle w:val="Default"/>
              <w:rPr>
                <w:b/>
                <w:bCs/>
                <w:sz w:val="20"/>
                <w:szCs w:val="20"/>
                <w:lang w:val="en-US"/>
              </w:rPr>
            </w:pPr>
            <w:r w:rsidRPr="00AF2045">
              <w:rPr>
                <w:b/>
                <w:bCs/>
                <w:sz w:val="20"/>
                <w:szCs w:val="20"/>
                <w:lang w:val="en-US"/>
              </w:rPr>
              <w:t>Cifas Employee Vetting Project</w:t>
            </w:r>
          </w:p>
          <w:p w14:paraId="03E966DC" w14:textId="77777777" w:rsidR="005967D0" w:rsidRDefault="005967D0" w:rsidP="00887E43">
            <w:pPr>
              <w:pStyle w:val="Default"/>
              <w:rPr>
                <w:b/>
                <w:bCs/>
                <w:sz w:val="20"/>
                <w:szCs w:val="20"/>
                <w:lang w:val="en-US"/>
              </w:rPr>
            </w:pPr>
          </w:p>
          <w:p w14:paraId="2C1BA88A" w14:textId="77777777" w:rsidR="005967D0" w:rsidRDefault="005967D0" w:rsidP="005967D0">
            <w:pPr>
              <w:rPr>
                <w:sz w:val="20"/>
                <w:szCs w:val="20"/>
                <w:lang w:val="en-US"/>
              </w:rPr>
            </w:pPr>
            <w:r>
              <w:rPr>
                <w:sz w:val="20"/>
                <w:szCs w:val="20"/>
                <w:lang w:val="en-US"/>
              </w:rPr>
              <w:t>Implement employee vetting using the Cifas Enhanced Internal Fraud Database (EIFD) for new starter agency staff in phase 1 (Q2) and new starter and promotions for permanent staff in phase 2 (Q4)</w:t>
            </w:r>
          </w:p>
          <w:p w14:paraId="662CDE98" w14:textId="0E523C8B" w:rsidR="005967D0" w:rsidRPr="00AF2045" w:rsidRDefault="005967D0" w:rsidP="00887E43">
            <w:pPr>
              <w:pStyle w:val="Default"/>
              <w:rPr>
                <w:b/>
                <w:bCs/>
                <w:sz w:val="20"/>
                <w:szCs w:val="20"/>
              </w:rPr>
            </w:pPr>
          </w:p>
        </w:tc>
        <w:tc>
          <w:tcPr>
            <w:tcW w:w="6095" w:type="dxa"/>
            <w:tcBorders>
              <w:top w:val="single" w:sz="4" w:space="0" w:color="auto"/>
              <w:left w:val="nil"/>
              <w:bottom w:val="single" w:sz="4" w:space="0" w:color="auto"/>
              <w:right w:val="single" w:sz="4" w:space="0" w:color="auto"/>
            </w:tcBorders>
            <w:shd w:val="clear" w:color="auto" w:fill="auto"/>
          </w:tcPr>
          <w:p w14:paraId="6930CC65" w14:textId="063F588D" w:rsidR="00CC06AB" w:rsidRPr="009F391F" w:rsidRDefault="00CC06AB" w:rsidP="005967D0">
            <w:pPr>
              <w:rPr>
                <w:b/>
                <w:bCs/>
                <w:sz w:val="20"/>
                <w:szCs w:val="20"/>
              </w:rPr>
            </w:pPr>
            <w:r w:rsidRPr="009F391F">
              <w:rPr>
                <w:b/>
                <w:bCs/>
                <w:sz w:val="20"/>
                <w:szCs w:val="20"/>
              </w:rPr>
              <w:t>Objective partially achieved</w:t>
            </w:r>
          </w:p>
          <w:p w14:paraId="719C5D2A" w14:textId="77777777" w:rsidR="00CC06AB" w:rsidRPr="009F391F" w:rsidRDefault="00CC06AB" w:rsidP="005967D0">
            <w:pPr>
              <w:rPr>
                <w:b/>
                <w:bCs/>
                <w:sz w:val="20"/>
                <w:szCs w:val="20"/>
              </w:rPr>
            </w:pPr>
          </w:p>
          <w:p w14:paraId="2CFC0C07" w14:textId="48999E1E" w:rsidR="00A02645" w:rsidRPr="009F391F" w:rsidRDefault="002F7792" w:rsidP="005967D0">
            <w:pPr>
              <w:rPr>
                <w:sz w:val="20"/>
                <w:szCs w:val="20"/>
              </w:rPr>
            </w:pPr>
            <w:r w:rsidRPr="009F391F">
              <w:rPr>
                <w:sz w:val="20"/>
                <w:szCs w:val="20"/>
              </w:rPr>
              <w:t xml:space="preserve">Vetting of all agency </w:t>
            </w:r>
            <w:r w:rsidR="00C157D7" w:rsidRPr="00C157D7">
              <w:rPr>
                <w:sz w:val="20"/>
                <w:szCs w:val="20"/>
              </w:rPr>
              <w:t>workers.</w:t>
            </w:r>
            <w:r w:rsidR="00CC06AB" w:rsidRPr="009F391F">
              <w:rPr>
                <w:sz w:val="20"/>
                <w:szCs w:val="20"/>
              </w:rPr>
              <w:t xml:space="preserve"> </w:t>
            </w:r>
            <w:r w:rsidR="00E00218" w:rsidRPr="009F391F">
              <w:rPr>
                <w:sz w:val="20"/>
                <w:szCs w:val="20"/>
              </w:rPr>
              <w:t xml:space="preserve">in phase 1 </w:t>
            </w:r>
            <w:r w:rsidR="00CC06AB" w:rsidRPr="009F391F">
              <w:rPr>
                <w:sz w:val="20"/>
                <w:szCs w:val="20"/>
              </w:rPr>
              <w:t>commenced in August 2022</w:t>
            </w:r>
            <w:r w:rsidR="00C2798C" w:rsidRPr="009F391F">
              <w:rPr>
                <w:sz w:val="20"/>
                <w:szCs w:val="20"/>
              </w:rPr>
              <w:t xml:space="preserve"> and </w:t>
            </w:r>
            <w:r w:rsidR="006C48BF" w:rsidRPr="009F391F">
              <w:rPr>
                <w:sz w:val="20"/>
                <w:szCs w:val="20"/>
              </w:rPr>
              <w:t>i</w:t>
            </w:r>
            <w:r w:rsidR="0042617D" w:rsidRPr="009F391F">
              <w:rPr>
                <w:sz w:val="20"/>
                <w:szCs w:val="20"/>
              </w:rPr>
              <w:t>n total between Aug</w:t>
            </w:r>
            <w:r w:rsidR="005C065C" w:rsidRPr="009F391F">
              <w:rPr>
                <w:sz w:val="20"/>
                <w:szCs w:val="20"/>
              </w:rPr>
              <w:t>u</w:t>
            </w:r>
            <w:r w:rsidR="0042617D" w:rsidRPr="009F391F">
              <w:rPr>
                <w:sz w:val="20"/>
                <w:szCs w:val="20"/>
              </w:rPr>
              <w:t xml:space="preserve">st 2022 and </w:t>
            </w:r>
            <w:r w:rsidR="006C48BF" w:rsidRPr="009F391F">
              <w:rPr>
                <w:sz w:val="20"/>
                <w:szCs w:val="20"/>
              </w:rPr>
              <w:t>April</w:t>
            </w:r>
            <w:r w:rsidR="0042617D" w:rsidRPr="009F391F">
              <w:rPr>
                <w:sz w:val="20"/>
                <w:szCs w:val="20"/>
              </w:rPr>
              <w:t xml:space="preserve"> 2023</w:t>
            </w:r>
            <w:r w:rsidR="2CC2C6B2" w:rsidRPr="4514BC5D">
              <w:rPr>
                <w:sz w:val="20"/>
                <w:szCs w:val="20"/>
              </w:rPr>
              <w:t xml:space="preserve"> there were</w:t>
            </w:r>
            <w:r w:rsidR="007D1FEF">
              <w:rPr>
                <w:sz w:val="20"/>
                <w:szCs w:val="20"/>
              </w:rPr>
              <w:t xml:space="preserve"> </w:t>
            </w:r>
            <w:r w:rsidR="004C3B6F" w:rsidRPr="009F391F">
              <w:rPr>
                <w:sz w:val="20"/>
                <w:szCs w:val="20"/>
              </w:rPr>
              <w:t xml:space="preserve">107 agency </w:t>
            </w:r>
            <w:r w:rsidR="00C157D7">
              <w:rPr>
                <w:sz w:val="20"/>
                <w:szCs w:val="20"/>
              </w:rPr>
              <w:t>workers</w:t>
            </w:r>
            <w:r w:rsidR="004C3B6F" w:rsidRPr="009F391F">
              <w:rPr>
                <w:sz w:val="20"/>
                <w:szCs w:val="20"/>
              </w:rPr>
              <w:t xml:space="preserve"> </w:t>
            </w:r>
            <w:r w:rsidR="00772919" w:rsidRPr="009F391F">
              <w:rPr>
                <w:sz w:val="20"/>
                <w:szCs w:val="20"/>
              </w:rPr>
              <w:t>screened</w:t>
            </w:r>
            <w:r w:rsidR="004C3B6F" w:rsidRPr="009F391F">
              <w:rPr>
                <w:sz w:val="20"/>
                <w:szCs w:val="20"/>
              </w:rPr>
              <w:t xml:space="preserve"> using the </w:t>
            </w:r>
            <w:r w:rsidR="00C70B12" w:rsidRPr="009F391F">
              <w:rPr>
                <w:sz w:val="20"/>
                <w:szCs w:val="20"/>
              </w:rPr>
              <w:t>EIFD</w:t>
            </w:r>
            <w:r w:rsidR="17951722" w:rsidRPr="4514BC5D">
              <w:rPr>
                <w:sz w:val="20"/>
                <w:szCs w:val="20"/>
              </w:rPr>
              <w:t>,</w:t>
            </w:r>
            <w:r w:rsidR="00C70B12" w:rsidRPr="009F391F">
              <w:rPr>
                <w:sz w:val="20"/>
                <w:szCs w:val="20"/>
              </w:rPr>
              <w:t xml:space="preserve"> with no trace o</w:t>
            </w:r>
            <w:r w:rsidR="00F13BCF" w:rsidRPr="009F391F">
              <w:rPr>
                <w:sz w:val="20"/>
                <w:szCs w:val="20"/>
              </w:rPr>
              <w:t>n</w:t>
            </w:r>
            <w:r w:rsidR="00C70B12" w:rsidRPr="009F391F">
              <w:rPr>
                <w:sz w:val="20"/>
                <w:szCs w:val="20"/>
              </w:rPr>
              <w:t xml:space="preserve"> 105 </w:t>
            </w:r>
            <w:r w:rsidR="00377E8B" w:rsidRPr="009F391F">
              <w:rPr>
                <w:sz w:val="20"/>
                <w:szCs w:val="20"/>
              </w:rPr>
              <w:t>employees.  This</w:t>
            </w:r>
            <w:r w:rsidR="00B479E5" w:rsidRPr="009F391F">
              <w:rPr>
                <w:sz w:val="20"/>
                <w:szCs w:val="20"/>
              </w:rPr>
              <w:t xml:space="preserve"> </w:t>
            </w:r>
            <w:r w:rsidR="00C53F93" w:rsidRPr="009F391F">
              <w:rPr>
                <w:sz w:val="20"/>
                <w:szCs w:val="20"/>
              </w:rPr>
              <w:t>provid</w:t>
            </w:r>
            <w:r w:rsidR="00377E8B" w:rsidRPr="009F391F">
              <w:rPr>
                <w:sz w:val="20"/>
                <w:szCs w:val="20"/>
              </w:rPr>
              <w:t>ed</w:t>
            </w:r>
            <w:r w:rsidR="00C53F93" w:rsidRPr="009F391F">
              <w:rPr>
                <w:sz w:val="20"/>
                <w:szCs w:val="20"/>
              </w:rPr>
              <w:t xml:space="preserve"> assurance to the organisation that </w:t>
            </w:r>
            <w:r w:rsidR="00A8201F" w:rsidRPr="009F391F">
              <w:rPr>
                <w:sz w:val="20"/>
                <w:szCs w:val="20"/>
              </w:rPr>
              <w:t xml:space="preserve">known </w:t>
            </w:r>
            <w:r w:rsidR="00C53F93" w:rsidRPr="009F391F">
              <w:rPr>
                <w:sz w:val="20"/>
                <w:szCs w:val="20"/>
              </w:rPr>
              <w:t xml:space="preserve">fraudsters </w:t>
            </w:r>
            <w:r w:rsidR="00E91D88">
              <w:rPr>
                <w:sz w:val="20"/>
                <w:szCs w:val="20"/>
              </w:rPr>
              <w:t xml:space="preserve">filed by Cifas members </w:t>
            </w:r>
            <w:r w:rsidR="00C53F93" w:rsidRPr="009F391F">
              <w:rPr>
                <w:sz w:val="20"/>
                <w:szCs w:val="20"/>
              </w:rPr>
              <w:t>were not being recruited</w:t>
            </w:r>
            <w:r w:rsidR="006100F8" w:rsidRPr="009F391F">
              <w:rPr>
                <w:sz w:val="20"/>
                <w:szCs w:val="20"/>
              </w:rPr>
              <w:t>.</w:t>
            </w:r>
            <w:r w:rsidR="00A8201F" w:rsidRPr="009F391F">
              <w:rPr>
                <w:sz w:val="20"/>
                <w:szCs w:val="20"/>
              </w:rPr>
              <w:t xml:space="preserve">  The 2 agency </w:t>
            </w:r>
            <w:r w:rsidR="00C157D7">
              <w:rPr>
                <w:sz w:val="20"/>
                <w:szCs w:val="20"/>
              </w:rPr>
              <w:t xml:space="preserve">workers </w:t>
            </w:r>
            <w:r w:rsidR="004848AB" w:rsidRPr="009F391F">
              <w:rPr>
                <w:sz w:val="20"/>
                <w:szCs w:val="20"/>
              </w:rPr>
              <w:t>filed on the database by other members</w:t>
            </w:r>
            <w:r w:rsidR="006E5FD4" w:rsidRPr="009F391F">
              <w:rPr>
                <w:sz w:val="20"/>
                <w:szCs w:val="20"/>
              </w:rPr>
              <w:t xml:space="preserve"> left the organisation </w:t>
            </w:r>
            <w:r w:rsidR="006C4B7B" w:rsidRPr="009F391F">
              <w:rPr>
                <w:sz w:val="20"/>
                <w:szCs w:val="20"/>
              </w:rPr>
              <w:t>whilst enquiries were underway with the filing organisation</w:t>
            </w:r>
            <w:r w:rsidR="006E5FD4" w:rsidRPr="009F391F">
              <w:rPr>
                <w:sz w:val="20"/>
                <w:szCs w:val="20"/>
              </w:rPr>
              <w:t>s.</w:t>
            </w:r>
            <w:r w:rsidR="00A02645" w:rsidRPr="009F391F">
              <w:rPr>
                <w:sz w:val="20"/>
                <w:szCs w:val="20"/>
              </w:rPr>
              <w:t xml:space="preserve">  </w:t>
            </w:r>
          </w:p>
          <w:p w14:paraId="56B4E1D0" w14:textId="77777777" w:rsidR="00A02645" w:rsidRPr="009F391F" w:rsidRDefault="00A02645" w:rsidP="005967D0">
            <w:pPr>
              <w:rPr>
                <w:sz w:val="20"/>
                <w:szCs w:val="20"/>
              </w:rPr>
            </w:pPr>
          </w:p>
          <w:p w14:paraId="42DA7F89" w14:textId="572F19CE" w:rsidR="0042617D" w:rsidRPr="009F391F" w:rsidRDefault="009F391F" w:rsidP="005967D0">
            <w:pPr>
              <w:rPr>
                <w:sz w:val="20"/>
                <w:szCs w:val="20"/>
              </w:rPr>
            </w:pPr>
            <w:r w:rsidRPr="009F391F">
              <w:rPr>
                <w:sz w:val="20"/>
                <w:szCs w:val="20"/>
              </w:rPr>
              <w:t>Screening</w:t>
            </w:r>
            <w:r w:rsidR="00A02645" w:rsidRPr="009F391F">
              <w:rPr>
                <w:sz w:val="20"/>
                <w:szCs w:val="20"/>
              </w:rPr>
              <w:t xml:space="preserve"> of perm</w:t>
            </w:r>
            <w:r w:rsidR="00E00218" w:rsidRPr="009F391F">
              <w:rPr>
                <w:sz w:val="20"/>
                <w:szCs w:val="20"/>
              </w:rPr>
              <w:t>a</w:t>
            </w:r>
            <w:r w:rsidR="00A02645" w:rsidRPr="009F391F">
              <w:rPr>
                <w:sz w:val="20"/>
                <w:szCs w:val="20"/>
              </w:rPr>
              <w:t>n</w:t>
            </w:r>
            <w:r w:rsidR="00E00218" w:rsidRPr="009F391F">
              <w:rPr>
                <w:sz w:val="20"/>
                <w:szCs w:val="20"/>
              </w:rPr>
              <w:t>e</w:t>
            </w:r>
            <w:r w:rsidR="00A02645" w:rsidRPr="009F391F">
              <w:rPr>
                <w:sz w:val="20"/>
                <w:szCs w:val="20"/>
              </w:rPr>
              <w:t>nt</w:t>
            </w:r>
            <w:r w:rsidR="00E00218" w:rsidRPr="009F391F">
              <w:rPr>
                <w:sz w:val="20"/>
                <w:szCs w:val="20"/>
              </w:rPr>
              <w:t xml:space="preserve"> staff in phase 2</w:t>
            </w:r>
            <w:r w:rsidR="00D95CDF" w:rsidRPr="009F391F">
              <w:rPr>
                <w:sz w:val="20"/>
                <w:szCs w:val="20"/>
              </w:rPr>
              <w:t xml:space="preserve"> did not commence as </w:t>
            </w:r>
            <w:r w:rsidR="00087BF0" w:rsidRPr="009F391F">
              <w:rPr>
                <w:sz w:val="20"/>
                <w:szCs w:val="20"/>
              </w:rPr>
              <w:t xml:space="preserve">greater consultation was required internally.  </w:t>
            </w:r>
            <w:r w:rsidRPr="009F391F">
              <w:rPr>
                <w:sz w:val="20"/>
                <w:szCs w:val="20"/>
              </w:rPr>
              <w:t>This w</w:t>
            </w:r>
            <w:r w:rsidR="00856E12" w:rsidRPr="009F391F">
              <w:rPr>
                <w:sz w:val="20"/>
                <w:szCs w:val="20"/>
              </w:rPr>
              <w:t xml:space="preserve">ork stream has been </w:t>
            </w:r>
            <w:r w:rsidRPr="009F391F">
              <w:rPr>
                <w:sz w:val="20"/>
                <w:szCs w:val="20"/>
              </w:rPr>
              <w:t xml:space="preserve">carried </w:t>
            </w:r>
            <w:r w:rsidR="00856E12" w:rsidRPr="009F391F">
              <w:rPr>
                <w:sz w:val="20"/>
                <w:szCs w:val="20"/>
              </w:rPr>
              <w:t>over to the plan for 2023/24.</w:t>
            </w:r>
            <w:r w:rsidR="00087BF0" w:rsidRPr="009F391F">
              <w:rPr>
                <w:sz w:val="20"/>
                <w:szCs w:val="20"/>
              </w:rPr>
              <w:t xml:space="preserve"> </w:t>
            </w:r>
            <w:r w:rsidR="00A02645" w:rsidRPr="009F391F">
              <w:rPr>
                <w:sz w:val="20"/>
                <w:szCs w:val="20"/>
              </w:rPr>
              <w:t xml:space="preserve"> </w:t>
            </w:r>
            <w:r w:rsidR="006E5FD4" w:rsidRPr="009F391F">
              <w:rPr>
                <w:sz w:val="20"/>
                <w:szCs w:val="20"/>
              </w:rPr>
              <w:t xml:space="preserve"> </w:t>
            </w:r>
            <w:r w:rsidR="006C4B7B" w:rsidRPr="009F391F">
              <w:rPr>
                <w:sz w:val="20"/>
                <w:szCs w:val="20"/>
              </w:rPr>
              <w:t xml:space="preserve">  </w:t>
            </w:r>
            <w:r w:rsidR="00C53F93" w:rsidRPr="009F391F">
              <w:rPr>
                <w:sz w:val="20"/>
                <w:szCs w:val="20"/>
              </w:rPr>
              <w:t xml:space="preserve">   </w:t>
            </w:r>
          </w:p>
          <w:p w14:paraId="62646614" w14:textId="68EC0DCE" w:rsidR="00603AE6" w:rsidRPr="00573973" w:rsidRDefault="00C2798C" w:rsidP="005967D0">
            <w:pPr>
              <w:rPr>
                <w:color w:val="FF0000"/>
                <w:sz w:val="20"/>
                <w:szCs w:val="20"/>
              </w:rPr>
            </w:pPr>
            <w:r w:rsidRPr="00573973">
              <w:rPr>
                <w:color w:val="FF0000"/>
                <w:sz w:val="20"/>
                <w:szCs w:val="20"/>
              </w:rPr>
              <w:t xml:space="preserve"> </w:t>
            </w:r>
            <w:r w:rsidR="002F7792" w:rsidRPr="00573973">
              <w:rPr>
                <w:color w:val="FF0000"/>
                <w:sz w:val="20"/>
                <w:szCs w:val="20"/>
              </w:rPr>
              <w:t xml:space="preserve"> </w:t>
            </w:r>
          </w:p>
        </w:tc>
      </w:tr>
    </w:tbl>
    <w:p w14:paraId="3ACDAEC4" w14:textId="77777777" w:rsidR="00B70289" w:rsidRDefault="00B70289">
      <w:r>
        <w:br w:type="page"/>
      </w:r>
    </w:p>
    <w:tbl>
      <w:tblPr>
        <w:tblW w:w="10661" w:type="dxa"/>
        <w:tblInd w:w="-34" w:type="dxa"/>
        <w:tblLayout w:type="fixed"/>
        <w:tblLook w:val="0000" w:firstRow="0" w:lastRow="0" w:firstColumn="0" w:lastColumn="0" w:noHBand="0" w:noVBand="0"/>
      </w:tblPr>
      <w:tblGrid>
        <w:gridCol w:w="576"/>
        <w:gridCol w:w="3961"/>
        <w:gridCol w:w="6124"/>
      </w:tblGrid>
      <w:tr w:rsidR="00B70289" w:rsidRPr="00380629" w14:paraId="603C8DF7" w14:textId="77777777" w:rsidTr="005B6965">
        <w:trPr>
          <w:trHeight w:val="282"/>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7FB674BC" w14:textId="77777777" w:rsidR="00B70289" w:rsidRDefault="00B70289" w:rsidP="005C5B71">
            <w:pPr>
              <w:rPr>
                <w:b/>
                <w:bCs/>
                <w:sz w:val="20"/>
                <w:szCs w:val="20"/>
                <w:lang w:val="en-US"/>
              </w:rPr>
            </w:pPr>
            <w:r>
              <w:lastRenderedPageBreak/>
              <w:br w:type="page"/>
            </w:r>
          </w:p>
        </w:tc>
        <w:tc>
          <w:tcPr>
            <w:tcW w:w="3961" w:type="dxa"/>
            <w:tcBorders>
              <w:top w:val="single" w:sz="4" w:space="0" w:color="auto"/>
              <w:left w:val="single" w:sz="4" w:space="0" w:color="auto"/>
              <w:bottom w:val="single" w:sz="4" w:space="0" w:color="auto"/>
              <w:right w:val="single" w:sz="4" w:space="0" w:color="auto"/>
            </w:tcBorders>
            <w:shd w:val="clear" w:color="auto" w:fill="17365D"/>
            <w:noWrap/>
            <w:vAlign w:val="bottom"/>
          </w:tcPr>
          <w:p w14:paraId="15A940D8" w14:textId="77777777" w:rsidR="00B70289" w:rsidRPr="001E0720" w:rsidRDefault="00B70289" w:rsidP="00B70289">
            <w:pPr>
              <w:rPr>
                <w:b/>
                <w:bCs/>
                <w:sz w:val="20"/>
                <w:szCs w:val="20"/>
                <w:lang w:val="en-US"/>
              </w:rPr>
            </w:pPr>
            <w:r w:rsidRPr="001E0720">
              <w:rPr>
                <w:b/>
                <w:bCs/>
                <w:sz w:val="20"/>
                <w:szCs w:val="20"/>
                <w:lang w:val="en-US"/>
              </w:rPr>
              <w:t>Fraud work stream</w:t>
            </w:r>
          </w:p>
        </w:tc>
        <w:tc>
          <w:tcPr>
            <w:tcW w:w="6124" w:type="dxa"/>
            <w:tcBorders>
              <w:top w:val="single" w:sz="4" w:space="0" w:color="auto"/>
              <w:left w:val="nil"/>
              <w:bottom w:val="single" w:sz="4" w:space="0" w:color="auto"/>
              <w:right w:val="single" w:sz="4" w:space="0" w:color="auto"/>
            </w:tcBorders>
            <w:shd w:val="clear" w:color="auto" w:fill="17365D"/>
            <w:vAlign w:val="center"/>
          </w:tcPr>
          <w:p w14:paraId="19294B5A" w14:textId="77777777" w:rsidR="00B70289" w:rsidRPr="001E0720" w:rsidRDefault="00B70289" w:rsidP="005C5B71">
            <w:pPr>
              <w:rPr>
                <w:b/>
                <w:bCs/>
                <w:sz w:val="20"/>
                <w:szCs w:val="20"/>
                <w:lang w:val="en-US"/>
              </w:rPr>
            </w:pPr>
            <w:r w:rsidRPr="001E0720">
              <w:rPr>
                <w:b/>
                <w:bCs/>
                <w:sz w:val="20"/>
                <w:szCs w:val="20"/>
                <w:lang w:val="en-US"/>
              </w:rPr>
              <w:t>Detail</w:t>
            </w:r>
          </w:p>
        </w:tc>
      </w:tr>
      <w:tr w:rsidR="0048460F" w:rsidRPr="0075312F" w14:paraId="5BDF7BF3" w14:textId="77777777" w:rsidTr="005B6965">
        <w:trPr>
          <w:trHeight w:val="7370"/>
        </w:trPr>
        <w:tc>
          <w:tcPr>
            <w:tcW w:w="576" w:type="dxa"/>
            <w:tcBorders>
              <w:top w:val="single" w:sz="4" w:space="0" w:color="auto"/>
              <w:left w:val="single" w:sz="4" w:space="0" w:color="auto"/>
              <w:bottom w:val="single" w:sz="4" w:space="0" w:color="auto"/>
              <w:right w:val="single" w:sz="4" w:space="0" w:color="auto"/>
            </w:tcBorders>
          </w:tcPr>
          <w:p w14:paraId="0E1F2782" w14:textId="4C45BFAC" w:rsidR="0048460F" w:rsidRPr="0075312F" w:rsidRDefault="0048460F" w:rsidP="0048460F">
            <w:pPr>
              <w:rPr>
                <w:sz w:val="20"/>
                <w:szCs w:val="20"/>
                <w:lang w:val="en-US"/>
              </w:rPr>
            </w:pPr>
            <w:r>
              <w:rPr>
                <w:sz w:val="20"/>
                <w:szCs w:val="20"/>
                <w:lang w:val="en-US"/>
              </w:rPr>
              <w:t>6.</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730E4CE4" w14:textId="77777777" w:rsidR="0048460F" w:rsidRPr="00502F8C" w:rsidRDefault="0048460F" w:rsidP="0048460F">
            <w:pPr>
              <w:rPr>
                <w:sz w:val="20"/>
                <w:szCs w:val="20"/>
                <w:lang w:val="en-US"/>
              </w:rPr>
            </w:pPr>
            <w:r w:rsidRPr="00502F8C">
              <w:rPr>
                <w:sz w:val="20"/>
                <w:szCs w:val="20"/>
                <w:lang w:val="en-US"/>
              </w:rPr>
              <w:t xml:space="preserve">Raise awareness of fraud and corruption risks both within the authority and in the community through the publication of fraud successes and awareness internally and in local and national media, including the use of all forms of social media including the following actions:-   </w:t>
            </w:r>
          </w:p>
          <w:p w14:paraId="06A8CCCE" w14:textId="77777777" w:rsidR="0048460F" w:rsidRPr="00502F8C" w:rsidRDefault="0048460F" w:rsidP="0048460F">
            <w:pPr>
              <w:rPr>
                <w:sz w:val="20"/>
                <w:szCs w:val="20"/>
                <w:lang w:val="en-US"/>
              </w:rPr>
            </w:pPr>
          </w:p>
          <w:p w14:paraId="14C5A59F" w14:textId="77777777" w:rsidR="0048460F" w:rsidRDefault="0048460F" w:rsidP="00DE5F7A">
            <w:pPr>
              <w:numPr>
                <w:ilvl w:val="0"/>
                <w:numId w:val="14"/>
              </w:numPr>
              <w:ind w:left="481"/>
              <w:rPr>
                <w:sz w:val="20"/>
                <w:szCs w:val="20"/>
                <w:lang w:val="en-US"/>
              </w:rPr>
            </w:pPr>
            <w:r w:rsidRPr="00DE7E2F">
              <w:rPr>
                <w:sz w:val="20"/>
                <w:szCs w:val="20"/>
                <w:lang w:val="en-US"/>
              </w:rPr>
              <w:t>Facilitate</w:t>
            </w:r>
            <w:r>
              <w:rPr>
                <w:sz w:val="20"/>
                <w:szCs w:val="20"/>
                <w:lang w:val="en-US"/>
              </w:rPr>
              <w:t xml:space="preserve"> with organizational development </w:t>
            </w:r>
            <w:r w:rsidRPr="00CF05F3">
              <w:rPr>
                <w:sz w:val="20"/>
                <w:szCs w:val="20"/>
                <w:lang w:val="en-US"/>
              </w:rPr>
              <w:t>the roll out of mandatory fraud e</w:t>
            </w:r>
            <w:r>
              <w:rPr>
                <w:sz w:val="20"/>
                <w:szCs w:val="20"/>
                <w:lang w:val="en-US"/>
              </w:rPr>
              <w:t>-learning during the year</w:t>
            </w:r>
          </w:p>
          <w:p w14:paraId="7D6F93BC" w14:textId="02240C30" w:rsidR="0048460F" w:rsidRDefault="0048460F" w:rsidP="0048460F">
            <w:pPr>
              <w:ind w:left="720"/>
              <w:rPr>
                <w:sz w:val="20"/>
                <w:szCs w:val="20"/>
                <w:lang w:val="en-US"/>
              </w:rPr>
            </w:pPr>
          </w:p>
          <w:p w14:paraId="33634392" w14:textId="3BF4403D" w:rsidR="005B6965" w:rsidRDefault="005B6965" w:rsidP="0048460F">
            <w:pPr>
              <w:ind w:left="720"/>
              <w:rPr>
                <w:sz w:val="20"/>
                <w:szCs w:val="20"/>
                <w:lang w:val="en-US"/>
              </w:rPr>
            </w:pPr>
          </w:p>
          <w:p w14:paraId="245143D9" w14:textId="5CA4A496" w:rsidR="005B6965" w:rsidRDefault="005B6965" w:rsidP="0048460F">
            <w:pPr>
              <w:ind w:left="720"/>
              <w:rPr>
                <w:sz w:val="20"/>
                <w:szCs w:val="20"/>
                <w:lang w:val="en-US"/>
              </w:rPr>
            </w:pPr>
          </w:p>
          <w:p w14:paraId="334AF6A5" w14:textId="5DE4DDD9" w:rsidR="005B6965" w:rsidRDefault="005B6965" w:rsidP="0048460F">
            <w:pPr>
              <w:ind w:left="720"/>
              <w:rPr>
                <w:sz w:val="20"/>
                <w:szCs w:val="20"/>
                <w:lang w:val="en-US"/>
              </w:rPr>
            </w:pPr>
          </w:p>
          <w:p w14:paraId="301FB9BB" w14:textId="4C2503FD" w:rsidR="005B6965" w:rsidRDefault="005B6965" w:rsidP="0048460F">
            <w:pPr>
              <w:ind w:left="720"/>
              <w:rPr>
                <w:sz w:val="20"/>
                <w:szCs w:val="20"/>
                <w:lang w:val="en-US"/>
              </w:rPr>
            </w:pPr>
          </w:p>
          <w:p w14:paraId="4316DE92" w14:textId="77777777" w:rsidR="005B6965" w:rsidRPr="00502F8C" w:rsidRDefault="005B6965" w:rsidP="0048460F">
            <w:pPr>
              <w:ind w:left="720"/>
              <w:rPr>
                <w:sz w:val="20"/>
                <w:szCs w:val="20"/>
                <w:lang w:val="en-US"/>
              </w:rPr>
            </w:pPr>
          </w:p>
          <w:p w14:paraId="3C837E5F" w14:textId="77777777" w:rsidR="0048460F" w:rsidRPr="00502F8C" w:rsidRDefault="0048460F" w:rsidP="00DE5F7A">
            <w:pPr>
              <w:numPr>
                <w:ilvl w:val="0"/>
                <w:numId w:val="14"/>
              </w:numPr>
              <w:ind w:left="481" w:hanging="283"/>
              <w:rPr>
                <w:sz w:val="20"/>
                <w:szCs w:val="20"/>
                <w:lang w:val="en-US"/>
              </w:rPr>
            </w:pPr>
            <w:r w:rsidRPr="00502F8C">
              <w:rPr>
                <w:sz w:val="20"/>
                <w:szCs w:val="20"/>
                <w:lang w:val="en-US"/>
              </w:rPr>
              <w:t xml:space="preserve">General </w:t>
            </w:r>
            <w:r>
              <w:rPr>
                <w:sz w:val="20"/>
                <w:szCs w:val="20"/>
                <w:lang w:val="en-US"/>
              </w:rPr>
              <w:t>fraud</w:t>
            </w:r>
            <w:r w:rsidRPr="00502F8C">
              <w:rPr>
                <w:sz w:val="20"/>
                <w:szCs w:val="20"/>
                <w:lang w:val="en-US"/>
              </w:rPr>
              <w:t xml:space="preserve"> communication bulletins in relation to articles on fraud and corruption</w:t>
            </w:r>
            <w:r>
              <w:rPr>
                <w:sz w:val="20"/>
                <w:szCs w:val="20"/>
                <w:lang w:val="en-US"/>
              </w:rPr>
              <w:t xml:space="preserve">, case studies                                                                                                                          </w:t>
            </w:r>
          </w:p>
          <w:p w14:paraId="484CFDB7" w14:textId="7141498C" w:rsidR="4514BC5D" w:rsidRDefault="4514BC5D" w:rsidP="00DE5F7A">
            <w:pPr>
              <w:ind w:left="481" w:hanging="283"/>
              <w:rPr>
                <w:sz w:val="20"/>
                <w:szCs w:val="20"/>
                <w:lang w:val="en-US"/>
              </w:rPr>
            </w:pPr>
          </w:p>
          <w:p w14:paraId="0FFB1715" w14:textId="77777777" w:rsidR="0048460F" w:rsidRPr="00502F8C" w:rsidRDefault="0048460F" w:rsidP="00DE5F7A">
            <w:pPr>
              <w:numPr>
                <w:ilvl w:val="0"/>
                <w:numId w:val="14"/>
              </w:numPr>
              <w:ind w:left="481" w:hanging="283"/>
              <w:rPr>
                <w:sz w:val="20"/>
                <w:szCs w:val="20"/>
                <w:lang w:val="en-US"/>
              </w:rPr>
            </w:pPr>
            <w:r w:rsidRPr="00502F8C">
              <w:rPr>
                <w:sz w:val="20"/>
                <w:szCs w:val="20"/>
                <w:lang w:val="en-US"/>
              </w:rPr>
              <w:t>Issuing management reports detailing investigation outcomes and recommendations for improving fraud risk controls are implemented (KPI5)</w:t>
            </w:r>
          </w:p>
          <w:p w14:paraId="2EB12DD0" w14:textId="06CB7D89" w:rsidR="0048460F" w:rsidRDefault="0048460F" w:rsidP="00DE5F7A">
            <w:pPr>
              <w:ind w:left="481" w:hanging="283"/>
              <w:rPr>
                <w:sz w:val="20"/>
                <w:szCs w:val="20"/>
                <w:lang w:val="en-US"/>
              </w:rPr>
            </w:pPr>
          </w:p>
          <w:p w14:paraId="479BA00D" w14:textId="3857DDCD" w:rsidR="005B6965" w:rsidRDefault="005B6965" w:rsidP="00DE5F7A">
            <w:pPr>
              <w:ind w:left="481" w:hanging="283"/>
              <w:rPr>
                <w:sz w:val="20"/>
                <w:szCs w:val="20"/>
                <w:lang w:val="en-US"/>
              </w:rPr>
            </w:pPr>
          </w:p>
          <w:p w14:paraId="5E374C58" w14:textId="77777777" w:rsidR="0048460F" w:rsidRPr="00502F8C" w:rsidRDefault="0048460F" w:rsidP="00DE5F7A">
            <w:pPr>
              <w:numPr>
                <w:ilvl w:val="0"/>
                <w:numId w:val="14"/>
              </w:numPr>
              <w:ind w:left="481" w:hanging="283"/>
              <w:rPr>
                <w:sz w:val="20"/>
                <w:szCs w:val="20"/>
                <w:lang w:val="en-US"/>
              </w:rPr>
            </w:pPr>
            <w:r w:rsidRPr="00502F8C">
              <w:rPr>
                <w:sz w:val="20"/>
                <w:szCs w:val="20"/>
                <w:lang w:val="en-US"/>
              </w:rPr>
              <w:t>Deliver fraud workshops/CAFT attendance at team meetings for high fraud risk areas as appropriate</w:t>
            </w:r>
          </w:p>
          <w:p w14:paraId="0A78A643" w14:textId="74F97BB0" w:rsidR="0048460F" w:rsidRDefault="0048460F" w:rsidP="00DE5F7A">
            <w:pPr>
              <w:ind w:left="481" w:hanging="283"/>
              <w:rPr>
                <w:sz w:val="20"/>
                <w:szCs w:val="20"/>
                <w:lang w:val="en-US"/>
              </w:rPr>
            </w:pPr>
          </w:p>
          <w:p w14:paraId="220B0D45" w14:textId="77777777" w:rsidR="005B6965" w:rsidRPr="00502F8C" w:rsidRDefault="005B6965" w:rsidP="00DE5F7A">
            <w:pPr>
              <w:ind w:left="481" w:hanging="283"/>
              <w:rPr>
                <w:sz w:val="20"/>
                <w:szCs w:val="20"/>
                <w:lang w:val="en-US"/>
              </w:rPr>
            </w:pPr>
          </w:p>
          <w:p w14:paraId="518F0718" w14:textId="77777777" w:rsidR="0048460F" w:rsidRPr="00502F8C" w:rsidRDefault="0048460F" w:rsidP="00DE5F7A">
            <w:pPr>
              <w:numPr>
                <w:ilvl w:val="0"/>
                <w:numId w:val="14"/>
              </w:numPr>
              <w:ind w:left="481" w:hanging="283"/>
              <w:rPr>
                <w:sz w:val="20"/>
                <w:szCs w:val="20"/>
                <w:lang w:val="en-US"/>
              </w:rPr>
            </w:pPr>
            <w:r w:rsidRPr="00502F8C">
              <w:rPr>
                <w:sz w:val="20"/>
                <w:szCs w:val="20"/>
                <w:lang w:val="en-US"/>
              </w:rPr>
              <w:t>Publicity through all forms of media on successful fraud cases, fraud initiatives and related prosecution outcomes</w:t>
            </w:r>
          </w:p>
          <w:p w14:paraId="77100ABE" w14:textId="77777777" w:rsidR="0048460F" w:rsidRPr="00502F8C" w:rsidRDefault="0048460F" w:rsidP="00DE5F7A">
            <w:pPr>
              <w:pStyle w:val="ListParagraph"/>
              <w:ind w:left="481" w:hanging="283"/>
              <w:rPr>
                <w:sz w:val="20"/>
                <w:szCs w:val="20"/>
                <w:lang w:val="en-US"/>
              </w:rPr>
            </w:pPr>
          </w:p>
          <w:p w14:paraId="3D7911DC" w14:textId="77777777" w:rsidR="0048460F" w:rsidRPr="00502F8C" w:rsidRDefault="0048460F" w:rsidP="00DE5F7A">
            <w:pPr>
              <w:numPr>
                <w:ilvl w:val="0"/>
                <w:numId w:val="14"/>
              </w:numPr>
              <w:ind w:left="481" w:hanging="283"/>
              <w:rPr>
                <w:sz w:val="20"/>
                <w:szCs w:val="20"/>
                <w:lang w:val="en-US"/>
              </w:rPr>
            </w:pPr>
            <w:r w:rsidRPr="00502F8C">
              <w:rPr>
                <w:sz w:val="20"/>
                <w:szCs w:val="20"/>
                <w:lang w:val="en-US"/>
              </w:rPr>
              <w:t>The use of Yammer to promote fraud awareness and signpost to the e-learning package</w:t>
            </w:r>
          </w:p>
          <w:p w14:paraId="68AF020E" w14:textId="77777777" w:rsidR="0048460F" w:rsidRPr="00502F8C" w:rsidRDefault="0048460F" w:rsidP="0048460F">
            <w:pPr>
              <w:pStyle w:val="ListParagraph"/>
              <w:rPr>
                <w:sz w:val="20"/>
                <w:szCs w:val="20"/>
                <w:lang w:val="en-US"/>
              </w:rPr>
            </w:pPr>
          </w:p>
          <w:p w14:paraId="567A7000" w14:textId="7203DE05" w:rsidR="0048460F" w:rsidRPr="007C6042" w:rsidRDefault="0048460F" w:rsidP="0048460F">
            <w:pPr>
              <w:rPr>
                <w:b/>
                <w:sz w:val="20"/>
                <w:szCs w:val="20"/>
                <w:lang w:val="en-US"/>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22794A1" w14:textId="7D525492" w:rsidR="0048460F" w:rsidRPr="009102C8" w:rsidRDefault="0048460F" w:rsidP="0048460F">
            <w:pPr>
              <w:rPr>
                <w:b/>
                <w:strike/>
                <w:sz w:val="20"/>
                <w:szCs w:val="20"/>
              </w:rPr>
            </w:pPr>
            <w:r w:rsidRPr="009102C8">
              <w:rPr>
                <w:b/>
                <w:sz w:val="20"/>
                <w:szCs w:val="20"/>
              </w:rPr>
              <w:t>Objective partially achieved</w:t>
            </w:r>
          </w:p>
          <w:p w14:paraId="337DBC28" w14:textId="77777777" w:rsidR="0048460F" w:rsidRPr="00B75853" w:rsidRDefault="0048460F" w:rsidP="0048460F">
            <w:pPr>
              <w:rPr>
                <w:color w:val="FF0000"/>
                <w:sz w:val="20"/>
                <w:szCs w:val="20"/>
                <w:lang w:val="en-US"/>
              </w:rPr>
            </w:pPr>
          </w:p>
          <w:p w14:paraId="2AC4434A" w14:textId="77777777" w:rsidR="0048460F" w:rsidRDefault="0048460F" w:rsidP="0048460F">
            <w:pPr>
              <w:rPr>
                <w:b/>
                <w:sz w:val="20"/>
                <w:szCs w:val="20"/>
                <w:lang w:val="en-US"/>
              </w:rPr>
            </w:pPr>
          </w:p>
          <w:p w14:paraId="75276B9A" w14:textId="77777777" w:rsidR="0048460F" w:rsidRDefault="0048460F" w:rsidP="0048460F">
            <w:pPr>
              <w:rPr>
                <w:b/>
                <w:sz w:val="20"/>
                <w:szCs w:val="20"/>
                <w:lang w:val="en-US"/>
              </w:rPr>
            </w:pPr>
          </w:p>
          <w:p w14:paraId="3D4B8839" w14:textId="77777777" w:rsidR="0048460F" w:rsidRDefault="0048460F" w:rsidP="0048460F">
            <w:pPr>
              <w:rPr>
                <w:b/>
                <w:sz w:val="20"/>
                <w:szCs w:val="20"/>
                <w:lang w:val="en-US"/>
              </w:rPr>
            </w:pPr>
          </w:p>
          <w:p w14:paraId="7BD0B8E1" w14:textId="77777777" w:rsidR="0048460F" w:rsidRDefault="0048460F" w:rsidP="0048460F">
            <w:pPr>
              <w:rPr>
                <w:b/>
                <w:sz w:val="20"/>
                <w:szCs w:val="20"/>
                <w:lang w:val="en-US"/>
              </w:rPr>
            </w:pPr>
          </w:p>
          <w:p w14:paraId="45F562AF" w14:textId="77777777" w:rsidR="00D955DF" w:rsidRDefault="00D955DF" w:rsidP="0048460F">
            <w:pPr>
              <w:rPr>
                <w:b/>
                <w:sz w:val="20"/>
                <w:szCs w:val="20"/>
                <w:lang w:val="en-US"/>
              </w:rPr>
            </w:pPr>
          </w:p>
          <w:p w14:paraId="79A811EF" w14:textId="77A311F9" w:rsidR="0048460F" w:rsidRPr="00126207" w:rsidRDefault="0048460F" w:rsidP="0048460F">
            <w:pPr>
              <w:rPr>
                <w:b/>
                <w:sz w:val="20"/>
                <w:szCs w:val="20"/>
                <w:lang w:val="en-US"/>
              </w:rPr>
            </w:pPr>
            <w:r w:rsidRPr="00126207">
              <w:rPr>
                <w:b/>
                <w:sz w:val="20"/>
                <w:szCs w:val="20"/>
                <w:lang w:val="en-US"/>
              </w:rPr>
              <w:t>Fraud e-learning</w:t>
            </w:r>
          </w:p>
          <w:p w14:paraId="03EA7D5D" w14:textId="229E8B8E" w:rsidR="0048460F" w:rsidRPr="00AB2C63" w:rsidRDefault="001178EC" w:rsidP="0048460F">
            <w:pPr>
              <w:rPr>
                <w:sz w:val="20"/>
                <w:szCs w:val="20"/>
                <w:lang w:val="en-US"/>
              </w:rPr>
            </w:pPr>
            <w:r w:rsidRPr="00AB2C63">
              <w:rPr>
                <w:sz w:val="20"/>
                <w:szCs w:val="20"/>
                <w:lang w:val="en-US"/>
              </w:rPr>
              <w:t>F</w:t>
            </w:r>
            <w:r w:rsidR="00814F67" w:rsidRPr="00AB2C63">
              <w:rPr>
                <w:sz w:val="20"/>
                <w:szCs w:val="20"/>
                <w:lang w:val="en-US"/>
              </w:rPr>
              <w:t xml:space="preserve">raud awareness training </w:t>
            </w:r>
            <w:r w:rsidRPr="00AB2C63">
              <w:rPr>
                <w:sz w:val="20"/>
                <w:szCs w:val="20"/>
                <w:lang w:val="en-US"/>
              </w:rPr>
              <w:t xml:space="preserve">became </w:t>
            </w:r>
            <w:r w:rsidR="00814F67" w:rsidRPr="00AB2C63">
              <w:rPr>
                <w:sz w:val="20"/>
                <w:szCs w:val="20"/>
                <w:lang w:val="en-US"/>
              </w:rPr>
              <w:t xml:space="preserve">mandatory </w:t>
            </w:r>
            <w:r w:rsidR="00697C10" w:rsidRPr="00AB2C63">
              <w:rPr>
                <w:sz w:val="20"/>
                <w:szCs w:val="20"/>
                <w:lang w:val="en-US"/>
              </w:rPr>
              <w:t xml:space="preserve">for new starters </w:t>
            </w:r>
            <w:r w:rsidRPr="00AB2C63">
              <w:rPr>
                <w:sz w:val="20"/>
                <w:szCs w:val="20"/>
                <w:lang w:val="en-US"/>
              </w:rPr>
              <w:t xml:space="preserve">in </w:t>
            </w:r>
            <w:r w:rsidR="00932601" w:rsidRPr="00AB2C63">
              <w:rPr>
                <w:sz w:val="20"/>
                <w:szCs w:val="20"/>
                <w:lang w:val="en-US"/>
              </w:rPr>
              <w:t>October</w:t>
            </w:r>
            <w:r w:rsidRPr="00AB2C63">
              <w:rPr>
                <w:sz w:val="20"/>
                <w:szCs w:val="20"/>
                <w:lang w:val="en-US"/>
              </w:rPr>
              <w:t xml:space="preserve"> 2022</w:t>
            </w:r>
            <w:r w:rsidR="002D29AB" w:rsidRPr="00AB2C63">
              <w:rPr>
                <w:sz w:val="20"/>
                <w:szCs w:val="20"/>
                <w:lang w:val="en-US"/>
              </w:rPr>
              <w:t xml:space="preserve"> and</w:t>
            </w:r>
            <w:r w:rsidR="00697C10" w:rsidRPr="00AB2C63">
              <w:rPr>
                <w:sz w:val="20"/>
                <w:szCs w:val="20"/>
                <w:lang w:val="en-US"/>
              </w:rPr>
              <w:t xml:space="preserve"> 3 year </w:t>
            </w:r>
            <w:r w:rsidR="002272EA" w:rsidRPr="00AB2C63">
              <w:rPr>
                <w:sz w:val="20"/>
                <w:szCs w:val="20"/>
                <w:lang w:val="en-US"/>
              </w:rPr>
              <w:t xml:space="preserve">cyclical </w:t>
            </w:r>
            <w:r w:rsidR="00697C10" w:rsidRPr="00AB2C63">
              <w:rPr>
                <w:sz w:val="20"/>
                <w:szCs w:val="20"/>
                <w:lang w:val="en-US"/>
              </w:rPr>
              <w:t>refresher training for all existing employees.</w:t>
            </w:r>
            <w:r w:rsidR="002D29AB" w:rsidRPr="00AB2C63">
              <w:rPr>
                <w:sz w:val="20"/>
                <w:szCs w:val="20"/>
                <w:lang w:val="en-US"/>
              </w:rPr>
              <w:t xml:space="preserve">  This marks a significant step in the right direction for the authority </w:t>
            </w:r>
            <w:r w:rsidR="00932601" w:rsidRPr="00AB2C63">
              <w:rPr>
                <w:sz w:val="20"/>
                <w:szCs w:val="20"/>
                <w:lang w:val="en-US"/>
              </w:rPr>
              <w:t xml:space="preserve">prioritising fraud awareness, detection and prevention.  </w:t>
            </w:r>
            <w:r w:rsidR="00697C10" w:rsidRPr="00AB2C63">
              <w:rPr>
                <w:sz w:val="20"/>
                <w:szCs w:val="20"/>
                <w:lang w:val="en-US"/>
              </w:rPr>
              <w:t xml:space="preserve">It launched in </w:t>
            </w:r>
            <w:r w:rsidR="00D439AF" w:rsidRPr="00AB2C63">
              <w:rPr>
                <w:sz w:val="20"/>
                <w:szCs w:val="20"/>
                <w:lang w:val="en-US"/>
              </w:rPr>
              <w:t>October</w:t>
            </w:r>
            <w:r w:rsidR="00697C10" w:rsidRPr="00AB2C63">
              <w:rPr>
                <w:sz w:val="20"/>
                <w:szCs w:val="20"/>
                <w:lang w:val="en-US"/>
              </w:rPr>
              <w:t xml:space="preserve"> 2022</w:t>
            </w:r>
            <w:r w:rsidR="002272EA" w:rsidRPr="00AB2C63">
              <w:rPr>
                <w:sz w:val="20"/>
                <w:szCs w:val="20"/>
                <w:lang w:val="en-US"/>
              </w:rPr>
              <w:t xml:space="preserve"> and as at the end of March 2023, the authority had achieved an 88% </w:t>
            </w:r>
            <w:r w:rsidR="00D120E6" w:rsidRPr="00AB2C63">
              <w:rPr>
                <w:sz w:val="20"/>
                <w:szCs w:val="20"/>
                <w:lang w:val="en-US"/>
              </w:rPr>
              <w:t xml:space="preserve">employee </w:t>
            </w:r>
            <w:r w:rsidR="002272EA" w:rsidRPr="00AB2C63">
              <w:rPr>
                <w:sz w:val="20"/>
                <w:szCs w:val="20"/>
                <w:lang w:val="en-US"/>
              </w:rPr>
              <w:t>compliance rate with the training</w:t>
            </w:r>
            <w:r w:rsidR="00441014" w:rsidRPr="00AB2C63">
              <w:rPr>
                <w:sz w:val="20"/>
                <w:szCs w:val="20"/>
                <w:lang w:val="en-US"/>
              </w:rPr>
              <w:t xml:space="preserve"> and </w:t>
            </w:r>
            <w:r w:rsidR="007F42D4" w:rsidRPr="00AB2C63">
              <w:rPr>
                <w:sz w:val="20"/>
                <w:szCs w:val="20"/>
                <w:lang w:val="en-US"/>
              </w:rPr>
              <w:t>this was evenly distributed across all of the directorates</w:t>
            </w:r>
            <w:r w:rsidR="005B1F19" w:rsidRPr="00AB2C63">
              <w:rPr>
                <w:sz w:val="20"/>
                <w:szCs w:val="20"/>
                <w:lang w:val="en-US"/>
              </w:rPr>
              <w:t>.</w:t>
            </w:r>
            <w:r w:rsidR="002272EA" w:rsidRPr="00AB2C63">
              <w:rPr>
                <w:sz w:val="20"/>
                <w:szCs w:val="20"/>
                <w:lang w:val="en-US"/>
              </w:rPr>
              <w:t xml:space="preserve"> </w:t>
            </w:r>
          </w:p>
          <w:p w14:paraId="26C0AA0A" w14:textId="77777777" w:rsidR="00957425" w:rsidRDefault="00957425" w:rsidP="0048460F">
            <w:pPr>
              <w:rPr>
                <w:color w:val="FF0000"/>
                <w:sz w:val="20"/>
                <w:szCs w:val="20"/>
                <w:lang w:val="en-US"/>
              </w:rPr>
            </w:pPr>
          </w:p>
          <w:p w14:paraId="0F10FCA0" w14:textId="02BFAF58" w:rsidR="00957425" w:rsidRPr="008E1A33" w:rsidRDefault="003B273B" w:rsidP="0048460F">
            <w:pPr>
              <w:rPr>
                <w:b/>
                <w:bCs/>
                <w:sz w:val="20"/>
                <w:szCs w:val="20"/>
                <w:lang w:val="en-US"/>
              </w:rPr>
            </w:pPr>
            <w:r w:rsidRPr="008E1A33">
              <w:rPr>
                <w:b/>
                <w:bCs/>
                <w:sz w:val="20"/>
                <w:szCs w:val="20"/>
                <w:lang w:val="en-US"/>
              </w:rPr>
              <w:t xml:space="preserve">General </w:t>
            </w:r>
            <w:r w:rsidR="00794641" w:rsidRPr="008E1A33">
              <w:rPr>
                <w:b/>
                <w:bCs/>
                <w:sz w:val="20"/>
                <w:szCs w:val="20"/>
                <w:lang w:val="en-US"/>
              </w:rPr>
              <w:t>fraud communication bulletins</w:t>
            </w:r>
          </w:p>
          <w:p w14:paraId="3E0919F8" w14:textId="2C9BB9FE" w:rsidR="0048460F" w:rsidRPr="00AB2C63" w:rsidRDefault="00097FC2" w:rsidP="0048460F">
            <w:pPr>
              <w:rPr>
                <w:bCs/>
                <w:sz w:val="20"/>
                <w:szCs w:val="20"/>
                <w:lang w:val="en-US"/>
              </w:rPr>
            </w:pPr>
            <w:r w:rsidRPr="00AB2C63">
              <w:rPr>
                <w:bCs/>
                <w:sz w:val="20"/>
                <w:szCs w:val="20"/>
                <w:lang w:val="en-US"/>
              </w:rPr>
              <w:t>No fraud updates were issued</w:t>
            </w:r>
          </w:p>
          <w:p w14:paraId="328E3667" w14:textId="77777777" w:rsidR="00794641" w:rsidRPr="0048460F" w:rsidRDefault="00794641" w:rsidP="0048460F">
            <w:pPr>
              <w:rPr>
                <w:b/>
                <w:color w:val="FF0000"/>
                <w:sz w:val="20"/>
                <w:szCs w:val="20"/>
                <w:lang w:val="en-US"/>
              </w:rPr>
            </w:pPr>
          </w:p>
          <w:p w14:paraId="4F8D260C" w14:textId="77777777" w:rsidR="005B6965" w:rsidRDefault="005B6965" w:rsidP="0048460F">
            <w:pPr>
              <w:rPr>
                <w:b/>
                <w:sz w:val="20"/>
                <w:szCs w:val="20"/>
                <w:lang w:val="en-US"/>
              </w:rPr>
            </w:pPr>
          </w:p>
          <w:p w14:paraId="7E361F86" w14:textId="5F6562D3" w:rsidR="0048460F" w:rsidRPr="001729F1" w:rsidRDefault="0048460F" w:rsidP="0048460F">
            <w:pPr>
              <w:rPr>
                <w:b/>
                <w:sz w:val="20"/>
                <w:szCs w:val="20"/>
                <w:lang w:val="en-US"/>
              </w:rPr>
            </w:pPr>
            <w:r w:rsidRPr="001729F1">
              <w:rPr>
                <w:b/>
                <w:sz w:val="20"/>
                <w:szCs w:val="20"/>
                <w:lang w:val="en-US"/>
              </w:rPr>
              <w:t>Management reports and briefing notes</w:t>
            </w:r>
          </w:p>
          <w:p w14:paraId="0382EED9" w14:textId="3DDB010E" w:rsidR="00CC6EFB" w:rsidRPr="005C33F9" w:rsidRDefault="00B82B65" w:rsidP="0048460F">
            <w:pPr>
              <w:rPr>
                <w:sz w:val="20"/>
                <w:szCs w:val="20"/>
                <w:lang w:val="en-US"/>
              </w:rPr>
            </w:pPr>
            <w:r w:rsidRPr="005C33F9">
              <w:rPr>
                <w:sz w:val="20"/>
                <w:szCs w:val="20"/>
                <w:lang w:val="en-US"/>
              </w:rPr>
              <w:t>2</w:t>
            </w:r>
            <w:r w:rsidR="000F7CFC" w:rsidRPr="005C33F9">
              <w:rPr>
                <w:sz w:val="20"/>
                <w:szCs w:val="20"/>
                <w:lang w:val="en-US"/>
              </w:rPr>
              <w:t>1</w:t>
            </w:r>
            <w:r w:rsidR="00F471B8" w:rsidRPr="005C33F9">
              <w:rPr>
                <w:sz w:val="20"/>
                <w:szCs w:val="20"/>
                <w:lang w:val="en-US"/>
              </w:rPr>
              <w:t xml:space="preserve"> </w:t>
            </w:r>
            <w:r w:rsidRPr="005C33F9">
              <w:rPr>
                <w:sz w:val="20"/>
                <w:szCs w:val="20"/>
                <w:lang w:val="en-US"/>
              </w:rPr>
              <w:t>recommendations were made</w:t>
            </w:r>
            <w:r w:rsidR="00F471B8" w:rsidRPr="005C33F9">
              <w:rPr>
                <w:sz w:val="20"/>
                <w:szCs w:val="20"/>
                <w:lang w:val="en-US"/>
              </w:rPr>
              <w:t xml:space="preserve"> to management for action following investigation.  20 were accepted by management</w:t>
            </w:r>
            <w:r w:rsidR="00A66DB6" w:rsidRPr="005C33F9">
              <w:rPr>
                <w:sz w:val="20"/>
                <w:szCs w:val="20"/>
                <w:lang w:val="en-US"/>
              </w:rPr>
              <w:t xml:space="preserve"> </w:t>
            </w:r>
            <w:r w:rsidR="00F471B8" w:rsidRPr="005C33F9">
              <w:rPr>
                <w:sz w:val="20"/>
                <w:szCs w:val="20"/>
                <w:lang w:val="en-US"/>
              </w:rPr>
              <w:t>resulting in positive outcomes for the authority</w:t>
            </w:r>
            <w:r w:rsidR="00A66DB6" w:rsidRPr="005C33F9">
              <w:rPr>
                <w:sz w:val="20"/>
                <w:szCs w:val="20"/>
                <w:lang w:val="en-US"/>
              </w:rPr>
              <w:t>.</w:t>
            </w:r>
            <w:r w:rsidR="00F471B8" w:rsidRPr="005C33F9">
              <w:rPr>
                <w:sz w:val="20"/>
                <w:szCs w:val="20"/>
                <w:lang w:val="en-US"/>
              </w:rPr>
              <w:t xml:space="preserve"> </w:t>
            </w:r>
            <w:r w:rsidRPr="005C33F9">
              <w:rPr>
                <w:sz w:val="20"/>
                <w:szCs w:val="20"/>
                <w:lang w:val="en-US"/>
              </w:rPr>
              <w:t xml:space="preserve">  </w:t>
            </w:r>
          </w:p>
          <w:p w14:paraId="3EF22974" w14:textId="77681C88" w:rsidR="0048460F" w:rsidRPr="005C33F9" w:rsidRDefault="0048460F" w:rsidP="0048460F">
            <w:pPr>
              <w:rPr>
                <w:sz w:val="20"/>
                <w:szCs w:val="20"/>
                <w:lang w:val="en-US"/>
              </w:rPr>
            </w:pPr>
          </w:p>
          <w:p w14:paraId="0C3BFA0F" w14:textId="66D3B6C2" w:rsidR="0048460F" w:rsidRPr="005C33F9" w:rsidRDefault="0048460F" w:rsidP="0048460F">
            <w:pPr>
              <w:rPr>
                <w:b/>
                <w:sz w:val="20"/>
                <w:szCs w:val="20"/>
                <w:lang w:val="en-US"/>
              </w:rPr>
            </w:pPr>
            <w:r w:rsidRPr="005C33F9">
              <w:rPr>
                <w:b/>
                <w:sz w:val="20"/>
                <w:szCs w:val="20"/>
              </w:rPr>
              <w:t>KPI5 target 85%, achieved (</w:t>
            </w:r>
            <w:r w:rsidR="00DD45D2" w:rsidRPr="005C33F9">
              <w:rPr>
                <w:b/>
                <w:sz w:val="20"/>
                <w:szCs w:val="20"/>
              </w:rPr>
              <w:t>95%</w:t>
            </w:r>
            <w:r w:rsidR="00F471B8" w:rsidRPr="005C33F9">
              <w:rPr>
                <w:b/>
                <w:sz w:val="20"/>
                <w:szCs w:val="20"/>
              </w:rPr>
              <w:t>)</w:t>
            </w:r>
            <w:r w:rsidRPr="005C33F9">
              <w:rPr>
                <w:b/>
                <w:sz w:val="20"/>
                <w:szCs w:val="20"/>
                <w:lang w:val="en-US"/>
              </w:rPr>
              <w:t xml:space="preserve">  </w:t>
            </w:r>
          </w:p>
          <w:p w14:paraId="73F4C1ED" w14:textId="77777777" w:rsidR="0048460F" w:rsidRPr="001729F1" w:rsidRDefault="0048460F" w:rsidP="0048460F">
            <w:pPr>
              <w:rPr>
                <w:b/>
                <w:sz w:val="20"/>
                <w:szCs w:val="20"/>
                <w:lang w:val="en-US"/>
              </w:rPr>
            </w:pPr>
          </w:p>
          <w:p w14:paraId="0FC08EF2" w14:textId="77777777" w:rsidR="0048460F" w:rsidRPr="001729F1" w:rsidRDefault="0048460F" w:rsidP="0048460F">
            <w:pPr>
              <w:rPr>
                <w:b/>
                <w:sz w:val="20"/>
                <w:szCs w:val="20"/>
                <w:lang w:val="en-US"/>
              </w:rPr>
            </w:pPr>
            <w:r w:rsidRPr="001729F1">
              <w:rPr>
                <w:b/>
                <w:sz w:val="20"/>
                <w:szCs w:val="20"/>
                <w:lang w:val="en-US"/>
              </w:rPr>
              <w:t>Workshops</w:t>
            </w:r>
          </w:p>
          <w:p w14:paraId="6938987A" w14:textId="4C384FFE" w:rsidR="0048460F" w:rsidRPr="0049390D" w:rsidRDefault="008152A5" w:rsidP="0048460F">
            <w:pPr>
              <w:rPr>
                <w:bCs/>
                <w:sz w:val="20"/>
                <w:szCs w:val="20"/>
                <w:lang w:val="en-US"/>
              </w:rPr>
            </w:pPr>
            <w:r w:rsidRPr="0049390D">
              <w:rPr>
                <w:bCs/>
                <w:sz w:val="20"/>
                <w:szCs w:val="20"/>
                <w:lang w:val="en-US"/>
              </w:rPr>
              <w:t xml:space="preserve">The team </w:t>
            </w:r>
            <w:r w:rsidR="00DC590B" w:rsidRPr="0049390D">
              <w:rPr>
                <w:bCs/>
                <w:sz w:val="20"/>
                <w:szCs w:val="20"/>
                <w:lang w:val="en-US"/>
              </w:rPr>
              <w:t>ran</w:t>
            </w:r>
            <w:r w:rsidR="002048B1" w:rsidRPr="0049390D">
              <w:rPr>
                <w:bCs/>
                <w:sz w:val="20"/>
                <w:szCs w:val="20"/>
                <w:lang w:val="en-US"/>
              </w:rPr>
              <w:t xml:space="preserve"> a live </w:t>
            </w:r>
            <w:r w:rsidR="00BE1B9F" w:rsidRPr="0049390D">
              <w:rPr>
                <w:bCs/>
                <w:sz w:val="20"/>
                <w:szCs w:val="20"/>
                <w:lang w:val="en-US"/>
              </w:rPr>
              <w:t xml:space="preserve">Teams fraud awareness session and posted </w:t>
            </w:r>
            <w:r w:rsidR="002048B1" w:rsidRPr="0049390D">
              <w:rPr>
                <w:bCs/>
                <w:sz w:val="20"/>
                <w:szCs w:val="20"/>
                <w:lang w:val="en-US"/>
              </w:rPr>
              <w:t>the recording</w:t>
            </w:r>
            <w:r w:rsidR="00BE1B9F" w:rsidRPr="0049390D">
              <w:rPr>
                <w:bCs/>
                <w:sz w:val="20"/>
                <w:szCs w:val="20"/>
                <w:lang w:val="en-US"/>
              </w:rPr>
              <w:t xml:space="preserve"> on the Hub</w:t>
            </w:r>
            <w:r w:rsidR="00452871" w:rsidRPr="0049390D">
              <w:rPr>
                <w:bCs/>
                <w:sz w:val="20"/>
                <w:szCs w:val="20"/>
                <w:lang w:val="en-US"/>
              </w:rPr>
              <w:t xml:space="preserve"> in March 2023.  The purpose of this session was to provide more detail than that covered in the e-learning course.</w:t>
            </w:r>
          </w:p>
          <w:p w14:paraId="3B3E73DC" w14:textId="77777777" w:rsidR="0048460F" w:rsidRPr="0048460F" w:rsidRDefault="0048460F" w:rsidP="0048460F">
            <w:pPr>
              <w:rPr>
                <w:b/>
                <w:color w:val="FF0000"/>
                <w:sz w:val="20"/>
                <w:szCs w:val="20"/>
                <w:lang w:val="en-US"/>
              </w:rPr>
            </w:pPr>
          </w:p>
          <w:p w14:paraId="65EF9C35" w14:textId="77777777" w:rsidR="0048460F" w:rsidRPr="001729F1" w:rsidRDefault="0048460F" w:rsidP="0048460F">
            <w:pPr>
              <w:rPr>
                <w:b/>
                <w:sz w:val="20"/>
                <w:szCs w:val="20"/>
                <w:lang w:val="en-US"/>
              </w:rPr>
            </w:pPr>
            <w:r w:rsidRPr="001729F1">
              <w:rPr>
                <w:b/>
                <w:sz w:val="20"/>
                <w:szCs w:val="20"/>
                <w:lang w:val="en-US"/>
              </w:rPr>
              <w:t>Publicity</w:t>
            </w:r>
          </w:p>
          <w:p w14:paraId="47812BC6" w14:textId="3BA5667D" w:rsidR="0048460F" w:rsidRPr="0048460F" w:rsidRDefault="0048460F" w:rsidP="0048460F">
            <w:pPr>
              <w:rPr>
                <w:bCs/>
                <w:color w:val="FF0000"/>
                <w:sz w:val="20"/>
                <w:szCs w:val="20"/>
                <w:lang w:val="en-US"/>
              </w:rPr>
            </w:pPr>
            <w:r w:rsidRPr="009102C8">
              <w:rPr>
                <w:bCs/>
                <w:sz w:val="20"/>
                <w:szCs w:val="20"/>
                <w:lang w:val="en-US"/>
              </w:rPr>
              <w:t xml:space="preserve">There </w:t>
            </w:r>
            <w:r w:rsidR="140C9C6A" w:rsidRPr="4514BC5D">
              <w:rPr>
                <w:sz w:val="20"/>
                <w:szCs w:val="20"/>
                <w:lang w:val="en-US"/>
              </w:rPr>
              <w:t>was</w:t>
            </w:r>
            <w:r w:rsidRPr="009102C8">
              <w:rPr>
                <w:bCs/>
                <w:sz w:val="20"/>
                <w:szCs w:val="20"/>
                <w:lang w:val="en-US"/>
              </w:rPr>
              <w:t xml:space="preserve"> no external publicity undertaken this year</w:t>
            </w:r>
            <w:r w:rsidRPr="0048460F">
              <w:rPr>
                <w:bCs/>
                <w:color w:val="FF0000"/>
                <w:sz w:val="20"/>
                <w:szCs w:val="20"/>
                <w:lang w:val="en-US"/>
              </w:rPr>
              <w:t>.</w:t>
            </w:r>
          </w:p>
          <w:p w14:paraId="548CF623" w14:textId="77777777" w:rsidR="001729F1" w:rsidRDefault="0048460F" w:rsidP="0048460F">
            <w:pPr>
              <w:rPr>
                <w:bCs/>
                <w:sz w:val="20"/>
                <w:szCs w:val="20"/>
                <w:lang w:val="en-US"/>
              </w:rPr>
            </w:pPr>
            <w:r>
              <w:rPr>
                <w:bCs/>
                <w:sz w:val="20"/>
                <w:szCs w:val="20"/>
                <w:lang w:val="en-US"/>
              </w:rPr>
              <w:t xml:space="preserve"> </w:t>
            </w:r>
          </w:p>
          <w:p w14:paraId="2289897B" w14:textId="16B2CEA5" w:rsidR="001729F1" w:rsidRDefault="001729F1" w:rsidP="0048460F">
            <w:pPr>
              <w:rPr>
                <w:bCs/>
                <w:sz w:val="20"/>
                <w:szCs w:val="20"/>
                <w:lang w:val="en-US"/>
              </w:rPr>
            </w:pPr>
          </w:p>
          <w:p w14:paraId="64AE5B9E" w14:textId="77777777" w:rsidR="00DE5F7A" w:rsidRDefault="00DE5F7A" w:rsidP="0048460F">
            <w:pPr>
              <w:rPr>
                <w:bCs/>
                <w:sz w:val="20"/>
                <w:szCs w:val="20"/>
                <w:lang w:val="en-US"/>
              </w:rPr>
            </w:pPr>
          </w:p>
          <w:p w14:paraId="4139E8B3" w14:textId="77777777" w:rsidR="008E70B4" w:rsidRDefault="001729F1" w:rsidP="0048460F">
            <w:pPr>
              <w:rPr>
                <w:b/>
                <w:sz w:val="20"/>
                <w:szCs w:val="20"/>
                <w:lang w:val="en-US"/>
              </w:rPr>
            </w:pPr>
            <w:r w:rsidRPr="001729F1">
              <w:rPr>
                <w:b/>
                <w:sz w:val="20"/>
                <w:szCs w:val="20"/>
                <w:lang w:val="en-US"/>
              </w:rPr>
              <w:t>Yammer</w:t>
            </w:r>
          </w:p>
          <w:p w14:paraId="4F0193FD" w14:textId="16775C6C" w:rsidR="00772C2B" w:rsidRPr="0006305B" w:rsidRDefault="008E70B4" w:rsidP="0048460F">
            <w:pPr>
              <w:rPr>
                <w:bCs/>
                <w:sz w:val="20"/>
                <w:szCs w:val="20"/>
                <w:lang w:val="en-US"/>
              </w:rPr>
            </w:pPr>
            <w:r w:rsidRPr="0006305B">
              <w:rPr>
                <w:bCs/>
                <w:sz w:val="20"/>
                <w:szCs w:val="20"/>
                <w:lang w:val="en-US"/>
              </w:rPr>
              <w:t xml:space="preserve">The team </w:t>
            </w:r>
            <w:r w:rsidR="0006305B">
              <w:rPr>
                <w:bCs/>
                <w:sz w:val="20"/>
                <w:szCs w:val="20"/>
                <w:lang w:val="en-US"/>
              </w:rPr>
              <w:t>published</w:t>
            </w:r>
            <w:r w:rsidR="00701BBB" w:rsidRPr="0006305B">
              <w:rPr>
                <w:bCs/>
                <w:sz w:val="20"/>
                <w:szCs w:val="20"/>
                <w:lang w:val="en-US"/>
              </w:rPr>
              <w:t xml:space="preserve"> a series of</w:t>
            </w:r>
            <w:r w:rsidR="0006305B">
              <w:rPr>
                <w:bCs/>
                <w:sz w:val="20"/>
                <w:szCs w:val="20"/>
                <w:lang w:val="en-US"/>
              </w:rPr>
              <w:t xml:space="preserve"> </w:t>
            </w:r>
            <w:r w:rsidR="000918CC" w:rsidRPr="0006305B">
              <w:rPr>
                <w:bCs/>
                <w:sz w:val="20"/>
                <w:szCs w:val="20"/>
                <w:lang w:val="en-US"/>
              </w:rPr>
              <w:t xml:space="preserve">real </w:t>
            </w:r>
            <w:r w:rsidR="008414C0" w:rsidRPr="0006305B">
              <w:rPr>
                <w:bCs/>
                <w:sz w:val="20"/>
                <w:szCs w:val="20"/>
                <w:lang w:val="en-US"/>
              </w:rPr>
              <w:t>fraud case studies</w:t>
            </w:r>
            <w:r w:rsidR="000918CC" w:rsidRPr="0006305B">
              <w:rPr>
                <w:bCs/>
                <w:sz w:val="20"/>
                <w:szCs w:val="20"/>
                <w:lang w:val="en-US"/>
              </w:rPr>
              <w:t xml:space="preserve"> </w:t>
            </w:r>
            <w:r w:rsidR="0006305B">
              <w:rPr>
                <w:bCs/>
                <w:sz w:val="20"/>
                <w:szCs w:val="20"/>
                <w:lang w:val="en-US"/>
              </w:rPr>
              <w:t>t</w:t>
            </w:r>
            <w:r w:rsidR="000918CC" w:rsidRPr="0006305B">
              <w:rPr>
                <w:bCs/>
                <w:sz w:val="20"/>
                <w:szCs w:val="20"/>
                <w:lang w:val="en-US"/>
              </w:rPr>
              <w:t>hat the team had investigated</w:t>
            </w:r>
            <w:r w:rsidR="008414C0" w:rsidRPr="0006305B">
              <w:rPr>
                <w:bCs/>
                <w:sz w:val="20"/>
                <w:szCs w:val="20"/>
                <w:lang w:val="en-US"/>
              </w:rPr>
              <w:t xml:space="preserve"> commencing in November 2022 </w:t>
            </w:r>
            <w:r w:rsidR="004422BF" w:rsidRPr="0006305B">
              <w:rPr>
                <w:bCs/>
                <w:sz w:val="20"/>
                <w:szCs w:val="20"/>
                <w:lang w:val="en-US"/>
              </w:rPr>
              <w:t xml:space="preserve">covering a number of </w:t>
            </w:r>
            <w:r w:rsidR="00772C2B" w:rsidRPr="0006305B">
              <w:rPr>
                <w:bCs/>
                <w:sz w:val="20"/>
                <w:szCs w:val="20"/>
                <w:lang w:val="en-US"/>
              </w:rPr>
              <w:t>different areas</w:t>
            </w:r>
            <w:r w:rsidR="00AB2C63">
              <w:rPr>
                <w:bCs/>
                <w:sz w:val="20"/>
                <w:szCs w:val="20"/>
                <w:lang w:val="en-US"/>
              </w:rPr>
              <w:t>.</w:t>
            </w:r>
          </w:p>
          <w:p w14:paraId="67D950AF" w14:textId="77777777" w:rsidR="00772C2B" w:rsidRPr="0006305B" w:rsidRDefault="00772C2B" w:rsidP="0048460F">
            <w:pPr>
              <w:rPr>
                <w:bCs/>
                <w:sz w:val="20"/>
                <w:szCs w:val="20"/>
                <w:lang w:val="en-US"/>
              </w:rPr>
            </w:pPr>
          </w:p>
          <w:p w14:paraId="43FF6F4F" w14:textId="183BF69A" w:rsidR="00772C2B" w:rsidRPr="0006305B" w:rsidRDefault="00772C2B" w:rsidP="0048460F">
            <w:pPr>
              <w:rPr>
                <w:bCs/>
                <w:sz w:val="20"/>
                <w:szCs w:val="20"/>
                <w:lang w:val="en-US"/>
              </w:rPr>
            </w:pPr>
            <w:r w:rsidRPr="0006305B">
              <w:rPr>
                <w:bCs/>
                <w:sz w:val="20"/>
                <w:szCs w:val="20"/>
                <w:lang w:val="en-US"/>
              </w:rPr>
              <w:t xml:space="preserve">November </w:t>
            </w:r>
            <w:r w:rsidR="002163E1" w:rsidRPr="0006305B">
              <w:rPr>
                <w:bCs/>
                <w:sz w:val="20"/>
                <w:szCs w:val="20"/>
                <w:lang w:val="en-US"/>
              </w:rPr>
              <w:t xml:space="preserve">2022 </w:t>
            </w:r>
            <w:r w:rsidRPr="0006305B">
              <w:rPr>
                <w:bCs/>
                <w:sz w:val="20"/>
                <w:szCs w:val="20"/>
                <w:lang w:val="en-US"/>
              </w:rPr>
              <w:t>– Housing Tenancy</w:t>
            </w:r>
          </w:p>
          <w:p w14:paraId="3C212C9A" w14:textId="4080ADF8" w:rsidR="00772C2B" w:rsidRPr="0006305B" w:rsidRDefault="00772C2B" w:rsidP="0048460F">
            <w:pPr>
              <w:rPr>
                <w:bCs/>
                <w:sz w:val="20"/>
                <w:szCs w:val="20"/>
                <w:lang w:val="en-US"/>
              </w:rPr>
            </w:pPr>
            <w:r w:rsidRPr="0006305B">
              <w:rPr>
                <w:bCs/>
                <w:sz w:val="20"/>
                <w:szCs w:val="20"/>
                <w:lang w:val="en-US"/>
              </w:rPr>
              <w:t xml:space="preserve">December </w:t>
            </w:r>
            <w:r w:rsidR="002163E1" w:rsidRPr="0006305B">
              <w:rPr>
                <w:bCs/>
                <w:sz w:val="20"/>
                <w:szCs w:val="20"/>
                <w:lang w:val="en-US"/>
              </w:rPr>
              <w:t xml:space="preserve">2022 </w:t>
            </w:r>
            <w:r w:rsidR="000918CC" w:rsidRPr="0006305B">
              <w:rPr>
                <w:bCs/>
                <w:sz w:val="20"/>
                <w:szCs w:val="20"/>
                <w:lang w:val="en-US"/>
              </w:rPr>
              <w:t xml:space="preserve">– </w:t>
            </w:r>
            <w:r w:rsidRPr="0006305B">
              <w:rPr>
                <w:bCs/>
                <w:sz w:val="20"/>
                <w:szCs w:val="20"/>
                <w:lang w:val="en-US"/>
              </w:rPr>
              <w:t>Social</w:t>
            </w:r>
            <w:r w:rsidR="00A66DB6">
              <w:rPr>
                <w:bCs/>
                <w:sz w:val="20"/>
                <w:szCs w:val="20"/>
                <w:lang w:val="en-US"/>
              </w:rPr>
              <w:t xml:space="preserve"> Care</w:t>
            </w:r>
          </w:p>
          <w:p w14:paraId="487CB306" w14:textId="77777777" w:rsidR="00331EBA" w:rsidRPr="0006305B" w:rsidRDefault="002163E1" w:rsidP="0048460F">
            <w:pPr>
              <w:rPr>
                <w:bCs/>
                <w:sz w:val="20"/>
                <w:szCs w:val="20"/>
                <w:lang w:val="en-US"/>
              </w:rPr>
            </w:pPr>
            <w:r w:rsidRPr="0006305B">
              <w:rPr>
                <w:bCs/>
                <w:sz w:val="20"/>
                <w:szCs w:val="20"/>
                <w:lang w:val="en-US"/>
              </w:rPr>
              <w:t>January 2023 – Housing Ten</w:t>
            </w:r>
            <w:r w:rsidR="00331EBA" w:rsidRPr="0006305B">
              <w:rPr>
                <w:bCs/>
                <w:sz w:val="20"/>
                <w:szCs w:val="20"/>
                <w:lang w:val="en-US"/>
              </w:rPr>
              <w:t>an</w:t>
            </w:r>
            <w:r w:rsidRPr="0006305B">
              <w:rPr>
                <w:bCs/>
                <w:sz w:val="20"/>
                <w:szCs w:val="20"/>
                <w:lang w:val="en-US"/>
              </w:rPr>
              <w:t>cy</w:t>
            </w:r>
          </w:p>
          <w:p w14:paraId="34487C90" w14:textId="182168FD" w:rsidR="0048460F" w:rsidRPr="001729F1" w:rsidRDefault="00331EBA" w:rsidP="0048460F">
            <w:pPr>
              <w:rPr>
                <w:b/>
                <w:sz w:val="20"/>
                <w:szCs w:val="20"/>
                <w:lang w:val="en-US"/>
              </w:rPr>
            </w:pPr>
            <w:r w:rsidRPr="0006305B">
              <w:rPr>
                <w:bCs/>
                <w:sz w:val="20"/>
                <w:szCs w:val="20"/>
                <w:lang w:val="en-US"/>
              </w:rPr>
              <w:t xml:space="preserve">February 2023 </w:t>
            </w:r>
            <w:r w:rsidR="0006305B" w:rsidRPr="0006305B">
              <w:rPr>
                <w:bCs/>
                <w:sz w:val="20"/>
                <w:szCs w:val="20"/>
                <w:lang w:val="en-US"/>
              </w:rPr>
              <w:t>–</w:t>
            </w:r>
            <w:r w:rsidRPr="0006305B">
              <w:rPr>
                <w:bCs/>
                <w:sz w:val="20"/>
                <w:szCs w:val="20"/>
                <w:lang w:val="en-US"/>
              </w:rPr>
              <w:t xml:space="preserve"> </w:t>
            </w:r>
            <w:r w:rsidR="0006305B" w:rsidRPr="0006305B">
              <w:rPr>
                <w:bCs/>
                <w:sz w:val="20"/>
                <w:szCs w:val="20"/>
                <w:lang w:val="en-US"/>
              </w:rPr>
              <w:t>Housing Tenancy (Private Sector Leasing)</w:t>
            </w:r>
            <w:r w:rsidR="002163E1">
              <w:rPr>
                <w:b/>
                <w:sz w:val="20"/>
                <w:szCs w:val="20"/>
                <w:lang w:val="en-US"/>
              </w:rPr>
              <w:t xml:space="preserve">  </w:t>
            </w:r>
          </w:p>
        </w:tc>
      </w:tr>
      <w:tr w:rsidR="0048460F" w:rsidRPr="0075312F" w14:paraId="22ED13B8" w14:textId="77777777" w:rsidTr="005B6965">
        <w:trPr>
          <w:trHeight w:val="251"/>
        </w:trPr>
        <w:tc>
          <w:tcPr>
            <w:tcW w:w="576" w:type="dxa"/>
            <w:tcBorders>
              <w:top w:val="single" w:sz="4" w:space="0" w:color="auto"/>
              <w:left w:val="single" w:sz="4" w:space="0" w:color="auto"/>
              <w:bottom w:val="single" w:sz="4" w:space="0" w:color="auto"/>
              <w:right w:val="single" w:sz="4" w:space="0" w:color="auto"/>
            </w:tcBorders>
          </w:tcPr>
          <w:p w14:paraId="27A2F8BD" w14:textId="1553FC94" w:rsidR="0048460F" w:rsidRPr="0075312F" w:rsidRDefault="0048460F" w:rsidP="0048460F">
            <w:pPr>
              <w:rPr>
                <w:sz w:val="20"/>
                <w:szCs w:val="20"/>
                <w:lang w:val="en-US"/>
              </w:rPr>
            </w:pPr>
            <w:r>
              <w:rPr>
                <w:sz w:val="20"/>
                <w:szCs w:val="20"/>
                <w:lang w:val="en-US"/>
              </w:rPr>
              <w:t>7.</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322D2DDF" w14:textId="77777777" w:rsidR="0048460F" w:rsidRPr="007C6042" w:rsidRDefault="0048460F" w:rsidP="0048460F">
            <w:pPr>
              <w:rPr>
                <w:b/>
                <w:sz w:val="20"/>
                <w:szCs w:val="20"/>
                <w:lang w:val="en-US"/>
              </w:rPr>
            </w:pPr>
            <w:r w:rsidRPr="007C6042">
              <w:rPr>
                <w:b/>
                <w:sz w:val="20"/>
                <w:szCs w:val="20"/>
                <w:lang w:val="en-US"/>
              </w:rPr>
              <w:t>Fraud liaison</w:t>
            </w:r>
          </w:p>
          <w:p w14:paraId="0A459B3B" w14:textId="77777777" w:rsidR="0048460F" w:rsidRPr="007C6042" w:rsidRDefault="0048460F" w:rsidP="0048460F">
            <w:pPr>
              <w:rPr>
                <w:b/>
                <w:sz w:val="20"/>
                <w:szCs w:val="20"/>
                <w:lang w:val="en-US"/>
              </w:rPr>
            </w:pPr>
          </w:p>
          <w:p w14:paraId="106B4265" w14:textId="77777777" w:rsidR="0048460F" w:rsidRDefault="0048460F" w:rsidP="0048460F">
            <w:pPr>
              <w:pStyle w:val="Default"/>
              <w:rPr>
                <w:sz w:val="20"/>
                <w:szCs w:val="20"/>
              </w:rPr>
            </w:pPr>
            <w:r>
              <w:rPr>
                <w:sz w:val="20"/>
                <w:szCs w:val="20"/>
              </w:rPr>
              <w:t xml:space="preserve">Explore, develop and maintain effective liaison with investigation teams in other boroughs and external agencies and ensure that membership and interest continues in the London Borough of Fraud Investigators Group (LBFIG), The National Anti-Fraud Network (NAFN), The Chartered Institute of Public Finance and Accountancy (CIPFA) and Cifas </w:t>
            </w:r>
          </w:p>
          <w:p w14:paraId="400CF4DD" w14:textId="77777777" w:rsidR="0048460F" w:rsidRPr="007C6042" w:rsidRDefault="0048460F" w:rsidP="0048460F">
            <w:pPr>
              <w:rPr>
                <w:b/>
                <w:sz w:val="20"/>
                <w:szCs w:val="20"/>
                <w:lang w:val="en-US"/>
              </w:rPr>
            </w:pPr>
          </w:p>
        </w:tc>
        <w:tc>
          <w:tcPr>
            <w:tcW w:w="6124" w:type="dxa"/>
            <w:tcBorders>
              <w:top w:val="single" w:sz="4" w:space="0" w:color="auto"/>
              <w:left w:val="nil"/>
              <w:bottom w:val="single" w:sz="4" w:space="0" w:color="auto"/>
              <w:right w:val="single" w:sz="4" w:space="0" w:color="auto"/>
            </w:tcBorders>
            <w:shd w:val="clear" w:color="auto" w:fill="auto"/>
          </w:tcPr>
          <w:p w14:paraId="4C1AA9C3" w14:textId="158C09CB" w:rsidR="0048460F" w:rsidRPr="00FB70E3" w:rsidRDefault="0048460F" w:rsidP="0048460F">
            <w:pPr>
              <w:rPr>
                <w:b/>
                <w:sz w:val="20"/>
                <w:szCs w:val="20"/>
              </w:rPr>
            </w:pPr>
            <w:r w:rsidRPr="00FB70E3">
              <w:rPr>
                <w:b/>
                <w:sz w:val="20"/>
                <w:szCs w:val="20"/>
              </w:rPr>
              <w:lastRenderedPageBreak/>
              <w:t>Objective achieved</w:t>
            </w:r>
          </w:p>
          <w:p w14:paraId="35EF71C3" w14:textId="77777777" w:rsidR="0048460F" w:rsidRPr="00FB70E3" w:rsidRDefault="0048460F" w:rsidP="0048460F">
            <w:pPr>
              <w:rPr>
                <w:sz w:val="20"/>
                <w:szCs w:val="20"/>
              </w:rPr>
            </w:pPr>
          </w:p>
          <w:p w14:paraId="3DEC0A1A" w14:textId="5A814873" w:rsidR="0048460F" w:rsidRPr="00FB70E3" w:rsidRDefault="0048460F" w:rsidP="0048460F">
            <w:pPr>
              <w:rPr>
                <w:sz w:val="20"/>
                <w:szCs w:val="20"/>
              </w:rPr>
            </w:pPr>
            <w:r w:rsidRPr="00FB70E3">
              <w:rPr>
                <w:sz w:val="20"/>
                <w:szCs w:val="20"/>
              </w:rPr>
              <w:t>The authority continued its membership</w:t>
            </w:r>
            <w:r w:rsidR="00072109">
              <w:rPr>
                <w:sz w:val="20"/>
                <w:szCs w:val="20"/>
              </w:rPr>
              <w:t xml:space="preserve"> of </w:t>
            </w:r>
            <w:r w:rsidRPr="00FB70E3">
              <w:rPr>
                <w:sz w:val="20"/>
                <w:szCs w:val="20"/>
              </w:rPr>
              <w:t>NAFN for its essential role in intelligence and evidence gathering and the LBFIG.  NAFN is an essential service for accessing 3</w:t>
            </w:r>
            <w:r w:rsidRPr="00FB70E3">
              <w:rPr>
                <w:sz w:val="20"/>
                <w:szCs w:val="20"/>
                <w:vertAlign w:val="superscript"/>
              </w:rPr>
              <w:t>rd</w:t>
            </w:r>
            <w:r w:rsidRPr="00FB70E3">
              <w:rPr>
                <w:sz w:val="20"/>
                <w:szCs w:val="20"/>
              </w:rPr>
              <w:t xml:space="preserve"> party information sources which is vital for supporting investigation work.  </w:t>
            </w:r>
          </w:p>
          <w:p w14:paraId="234C4D21" w14:textId="77777777" w:rsidR="0048460F" w:rsidRPr="00FB70E3" w:rsidRDefault="0048460F" w:rsidP="0048460F">
            <w:pPr>
              <w:rPr>
                <w:sz w:val="20"/>
                <w:szCs w:val="20"/>
              </w:rPr>
            </w:pPr>
          </w:p>
          <w:p w14:paraId="4137C1FB" w14:textId="768184DB" w:rsidR="0048460F" w:rsidRPr="00FB70E3" w:rsidRDefault="0048460F" w:rsidP="0048460F">
            <w:pPr>
              <w:rPr>
                <w:sz w:val="20"/>
                <w:szCs w:val="20"/>
              </w:rPr>
            </w:pPr>
            <w:r w:rsidRPr="00FB70E3">
              <w:rPr>
                <w:sz w:val="20"/>
                <w:szCs w:val="20"/>
              </w:rPr>
              <w:t>Officers in the team have also attended a number of virtual and face to face counter fraud training events during the year</w:t>
            </w:r>
            <w:r w:rsidR="00DE5A1C" w:rsidRPr="00FB70E3">
              <w:rPr>
                <w:sz w:val="20"/>
                <w:szCs w:val="20"/>
              </w:rPr>
              <w:t xml:space="preserve"> host</w:t>
            </w:r>
            <w:r w:rsidR="00BF195C" w:rsidRPr="00FB70E3">
              <w:rPr>
                <w:sz w:val="20"/>
                <w:szCs w:val="20"/>
              </w:rPr>
              <w:t>e</w:t>
            </w:r>
            <w:r w:rsidR="00DE5A1C" w:rsidRPr="00FB70E3">
              <w:rPr>
                <w:sz w:val="20"/>
                <w:szCs w:val="20"/>
              </w:rPr>
              <w:t>d by LBFIG</w:t>
            </w:r>
            <w:r w:rsidR="00BF195C" w:rsidRPr="00FB70E3">
              <w:rPr>
                <w:sz w:val="20"/>
                <w:szCs w:val="20"/>
              </w:rPr>
              <w:t xml:space="preserve"> and Cifas</w:t>
            </w:r>
            <w:r w:rsidRPr="00FB70E3">
              <w:rPr>
                <w:sz w:val="20"/>
                <w:szCs w:val="20"/>
              </w:rPr>
              <w:t>.</w:t>
            </w:r>
            <w:r w:rsidR="001F5C70" w:rsidRPr="00FB70E3">
              <w:rPr>
                <w:sz w:val="20"/>
                <w:szCs w:val="20"/>
              </w:rPr>
              <w:t xml:space="preserve">  </w:t>
            </w:r>
            <w:r w:rsidRPr="00FB70E3">
              <w:rPr>
                <w:sz w:val="20"/>
                <w:szCs w:val="20"/>
              </w:rPr>
              <w:t xml:space="preserve"> </w:t>
            </w:r>
          </w:p>
          <w:p w14:paraId="13198F9B" w14:textId="77777777" w:rsidR="0048460F" w:rsidRPr="00FB70E3" w:rsidRDefault="0048460F" w:rsidP="0048460F">
            <w:pPr>
              <w:rPr>
                <w:sz w:val="20"/>
                <w:szCs w:val="20"/>
              </w:rPr>
            </w:pPr>
            <w:r w:rsidRPr="00FB70E3">
              <w:rPr>
                <w:sz w:val="20"/>
                <w:szCs w:val="20"/>
              </w:rPr>
              <w:t xml:space="preserve"> </w:t>
            </w:r>
          </w:p>
          <w:p w14:paraId="56A6E37B" w14:textId="77777777" w:rsidR="0048460F" w:rsidRPr="00FB70E3" w:rsidRDefault="0048460F" w:rsidP="0048460F">
            <w:pPr>
              <w:rPr>
                <w:sz w:val="20"/>
                <w:szCs w:val="20"/>
              </w:rPr>
            </w:pPr>
            <w:r w:rsidRPr="00FB70E3">
              <w:rPr>
                <w:sz w:val="20"/>
                <w:szCs w:val="20"/>
              </w:rPr>
              <w:lastRenderedPageBreak/>
              <w:t>Established partnerships with the Immigration Enforcement Department, HMRC, the Home Office, the Metropolitan Police and other enforcement agencies continue to prove essential to investigative work.</w:t>
            </w:r>
          </w:p>
          <w:p w14:paraId="4740FB14" w14:textId="7E8B9883" w:rsidR="0048460F" w:rsidRPr="0048460F" w:rsidRDefault="0048460F" w:rsidP="0048460F">
            <w:pPr>
              <w:rPr>
                <w:sz w:val="20"/>
                <w:szCs w:val="20"/>
                <w:lang w:val="en-US"/>
              </w:rPr>
            </w:pPr>
          </w:p>
        </w:tc>
      </w:tr>
      <w:tr w:rsidR="00C150CC" w:rsidRPr="0075312F" w14:paraId="7AB49263" w14:textId="77777777" w:rsidTr="005B6965">
        <w:trPr>
          <w:trHeight w:val="251"/>
        </w:trPr>
        <w:tc>
          <w:tcPr>
            <w:tcW w:w="576" w:type="dxa"/>
            <w:tcBorders>
              <w:top w:val="single" w:sz="4" w:space="0" w:color="auto"/>
              <w:left w:val="single" w:sz="4" w:space="0" w:color="auto"/>
              <w:bottom w:val="single" w:sz="4" w:space="0" w:color="auto"/>
              <w:right w:val="single" w:sz="4" w:space="0" w:color="auto"/>
            </w:tcBorders>
          </w:tcPr>
          <w:p w14:paraId="32DFD625" w14:textId="2B3706C9" w:rsidR="00C150CC" w:rsidRDefault="00C150CC" w:rsidP="00C150CC">
            <w:pPr>
              <w:rPr>
                <w:sz w:val="20"/>
                <w:szCs w:val="20"/>
                <w:lang w:val="en-US"/>
              </w:rPr>
            </w:pPr>
            <w:r>
              <w:rPr>
                <w:sz w:val="20"/>
                <w:szCs w:val="20"/>
                <w:lang w:val="en-US"/>
              </w:rPr>
              <w:lastRenderedPageBreak/>
              <w:t>8.</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544366C5" w14:textId="77777777" w:rsidR="00FD0CBE" w:rsidRPr="00FD0CBE" w:rsidRDefault="00FD0CBE" w:rsidP="00FD0CBE">
            <w:pPr>
              <w:rPr>
                <w:b/>
                <w:bCs/>
                <w:sz w:val="20"/>
                <w:szCs w:val="20"/>
                <w:lang w:val="en-US"/>
              </w:rPr>
            </w:pPr>
            <w:r w:rsidRPr="00FD0CBE">
              <w:rPr>
                <w:b/>
                <w:bCs/>
                <w:sz w:val="20"/>
                <w:szCs w:val="20"/>
                <w:lang w:val="en-US"/>
              </w:rPr>
              <w:t xml:space="preserve">Challenging Organised Crime Groups (OCGs) project </w:t>
            </w:r>
          </w:p>
          <w:p w14:paraId="698F6B91" w14:textId="47E8EB57" w:rsidR="00C150CC" w:rsidRDefault="00C150CC" w:rsidP="00C150CC">
            <w:pPr>
              <w:rPr>
                <w:sz w:val="20"/>
                <w:szCs w:val="20"/>
                <w:lang w:val="en-US"/>
              </w:rPr>
            </w:pPr>
          </w:p>
          <w:p w14:paraId="26442122" w14:textId="77777777" w:rsidR="00C150CC" w:rsidRDefault="00C150CC" w:rsidP="00C150CC">
            <w:pPr>
              <w:rPr>
                <w:sz w:val="20"/>
                <w:szCs w:val="20"/>
                <w:lang w:val="en-US"/>
              </w:rPr>
            </w:pPr>
            <w:r>
              <w:rPr>
                <w:sz w:val="20"/>
                <w:szCs w:val="20"/>
                <w:lang w:val="en-US"/>
              </w:rPr>
              <w:t>Explore a proof of concept to identify and investigate OCGs in partnership with the Department for Business, Energy &amp; Industrial Strategy (BEIS), University of the West of England &amp; Synalogik Innovative Solutions</w:t>
            </w:r>
          </w:p>
          <w:p w14:paraId="50270682" w14:textId="50B76254" w:rsidR="00FD0CBE" w:rsidRPr="007C6042" w:rsidRDefault="00FD0CBE" w:rsidP="00C150CC">
            <w:pPr>
              <w:rPr>
                <w:b/>
                <w:sz w:val="20"/>
                <w:szCs w:val="20"/>
                <w:lang w:val="en-US"/>
              </w:rPr>
            </w:pPr>
          </w:p>
        </w:tc>
        <w:tc>
          <w:tcPr>
            <w:tcW w:w="6124" w:type="dxa"/>
            <w:tcBorders>
              <w:top w:val="single" w:sz="4" w:space="0" w:color="auto"/>
              <w:left w:val="nil"/>
              <w:bottom w:val="single" w:sz="4" w:space="0" w:color="auto"/>
              <w:right w:val="single" w:sz="4" w:space="0" w:color="auto"/>
            </w:tcBorders>
            <w:shd w:val="clear" w:color="auto" w:fill="auto"/>
          </w:tcPr>
          <w:p w14:paraId="4B8F3A2B" w14:textId="1B6B8A24" w:rsidR="00C150CC" w:rsidRPr="002F421D" w:rsidRDefault="002F421D" w:rsidP="00C150CC">
            <w:pPr>
              <w:rPr>
                <w:b/>
                <w:sz w:val="20"/>
                <w:szCs w:val="20"/>
              </w:rPr>
            </w:pPr>
            <w:r w:rsidRPr="002F421D">
              <w:rPr>
                <w:b/>
                <w:sz w:val="20"/>
                <w:szCs w:val="20"/>
              </w:rPr>
              <w:t xml:space="preserve">Objective </w:t>
            </w:r>
            <w:r w:rsidR="005E50DF">
              <w:rPr>
                <w:b/>
                <w:sz w:val="20"/>
                <w:szCs w:val="20"/>
              </w:rPr>
              <w:t>carried over</w:t>
            </w:r>
            <w:r w:rsidRPr="002F421D">
              <w:rPr>
                <w:b/>
                <w:sz w:val="20"/>
                <w:szCs w:val="20"/>
              </w:rPr>
              <w:t xml:space="preserve"> </w:t>
            </w:r>
            <w:r w:rsidR="00FC460A">
              <w:rPr>
                <w:b/>
                <w:sz w:val="20"/>
                <w:szCs w:val="20"/>
              </w:rPr>
              <w:t xml:space="preserve">to </w:t>
            </w:r>
            <w:r w:rsidRPr="002F421D">
              <w:rPr>
                <w:b/>
                <w:sz w:val="20"/>
                <w:szCs w:val="20"/>
              </w:rPr>
              <w:t>2023/24</w:t>
            </w:r>
          </w:p>
          <w:p w14:paraId="73F8BF57" w14:textId="6CF11626" w:rsidR="00EF21BC" w:rsidRDefault="00EF21BC" w:rsidP="00C150CC">
            <w:pPr>
              <w:rPr>
                <w:b/>
                <w:color w:val="FF0000"/>
                <w:sz w:val="20"/>
                <w:szCs w:val="20"/>
              </w:rPr>
            </w:pPr>
          </w:p>
          <w:p w14:paraId="041A409B" w14:textId="77777777" w:rsidR="00EF21BC" w:rsidRDefault="00EF21BC" w:rsidP="00C150CC">
            <w:pPr>
              <w:rPr>
                <w:b/>
                <w:color w:val="FF0000"/>
                <w:sz w:val="20"/>
                <w:szCs w:val="20"/>
              </w:rPr>
            </w:pPr>
          </w:p>
          <w:p w14:paraId="4FC9F7F2" w14:textId="205A0136" w:rsidR="00EF21BC" w:rsidRPr="00EF21BC" w:rsidRDefault="00EF21BC" w:rsidP="00EF21BC">
            <w:pPr>
              <w:rPr>
                <w:sz w:val="20"/>
                <w:szCs w:val="20"/>
              </w:rPr>
            </w:pPr>
            <w:r>
              <w:rPr>
                <w:sz w:val="20"/>
                <w:szCs w:val="20"/>
              </w:rPr>
              <w:t>The p</w:t>
            </w:r>
            <w:r w:rsidRPr="00EF21BC">
              <w:rPr>
                <w:sz w:val="20"/>
                <w:szCs w:val="20"/>
              </w:rPr>
              <w:t xml:space="preserve">ilot </w:t>
            </w:r>
            <w:r w:rsidR="00436C60">
              <w:rPr>
                <w:sz w:val="20"/>
                <w:szCs w:val="20"/>
              </w:rPr>
              <w:t>went</w:t>
            </w:r>
            <w:r w:rsidRPr="00EF21BC">
              <w:rPr>
                <w:sz w:val="20"/>
                <w:szCs w:val="20"/>
              </w:rPr>
              <w:t xml:space="preserve"> </w:t>
            </w:r>
            <w:r w:rsidR="00436C60">
              <w:rPr>
                <w:sz w:val="20"/>
                <w:szCs w:val="20"/>
              </w:rPr>
              <w:t>l</w:t>
            </w:r>
            <w:r w:rsidRPr="00EF21BC">
              <w:rPr>
                <w:sz w:val="20"/>
                <w:szCs w:val="20"/>
              </w:rPr>
              <w:t xml:space="preserve">ive </w:t>
            </w:r>
            <w:r w:rsidR="0098407A">
              <w:rPr>
                <w:sz w:val="20"/>
                <w:szCs w:val="20"/>
              </w:rPr>
              <w:t xml:space="preserve">in January </w:t>
            </w:r>
            <w:r w:rsidRPr="00EF21BC">
              <w:rPr>
                <w:sz w:val="20"/>
                <w:szCs w:val="20"/>
              </w:rPr>
              <w:t xml:space="preserve">2023 but was </w:t>
            </w:r>
            <w:r w:rsidR="003E09F3">
              <w:rPr>
                <w:sz w:val="20"/>
                <w:szCs w:val="20"/>
              </w:rPr>
              <w:t>paused</w:t>
            </w:r>
            <w:r w:rsidRPr="00EF21BC">
              <w:rPr>
                <w:sz w:val="20"/>
                <w:szCs w:val="20"/>
              </w:rPr>
              <w:t xml:space="preserve"> due to </w:t>
            </w:r>
            <w:r w:rsidR="009102C8">
              <w:rPr>
                <w:sz w:val="20"/>
                <w:szCs w:val="20"/>
              </w:rPr>
              <w:t>issues</w:t>
            </w:r>
            <w:r w:rsidRPr="00EF21BC">
              <w:rPr>
                <w:sz w:val="20"/>
                <w:szCs w:val="20"/>
              </w:rPr>
              <w:t xml:space="preserve"> with the data set</w:t>
            </w:r>
            <w:r w:rsidR="00EF77BE">
              <w:rPr>
                <w:sz w:val="20"/>
                <w:szCs w:val="20"/>
              </w:rPr>
              <w:t>s feeding into the platform</w:t>
            </w:r>
            <w:r w:rsidRPr="00EF21BC">
              <w:rPr>
                <w:sz w:val="20"/>
                <w:szCs w:val="20"/>
              </w:rPr>
              <w:t xml:space="preserve">.  </w:t>
            </w:r>
            <w:r w:rsidR="002F421D">
              <w:rPr>
                <w:sz w:val="20"/>
                <w:szCs w:val="20"/>
              </w:rPr>
              <w:t>The p</w:t>
            </w:r>
            <w:r w:rsidR="003E09F3">
              <w:rPr>
                <w:sz w:val="20"/>
                <w:szCs w:val="20"/>
              </w:rPr>
              <w:t>roof of concept</w:t>
            </w:r>
            <w:r w:rsidRPr="00EF21BC">
              <w:rPr>
                <w:sz w:val="20"/>
                <w:szCs w:val="20"/>
              </w:rPr>
              <w:t xml:space="preserve"> </w:t>
            </w:r>
            <w:r w:rsidR="002F421D">
              <w:rPr>
                <w:sz w:val="20"/>
                <w:szCs w:val="20"/>
              </w:rPr>
              <w:t xml:space="preserve">is </w:t>
            </w:r>
            <w:r w:rsidR="00220297">
              <w:rPr>
                <w:sz w:val="20"/>
                <w:szCs w:val="20"/>
              </w:rPr>
              <w:t>carried over to the 2023/24 plan and w</w:t>
            </w:r>
            <w:r w:rsidR="00187AA2">
              <w:rPr>
                <w:sz w:val="20"/>
                <w:szCs w:val="20"/>
              </w:rPr>
              <w:t xml:space="preserve">ill </w:t>
            </w:r>
            <w:r w:rsidR="00220297">
              <w:rPr>
                <w:sz w:val="20"/>
                <w:szCs w:val="20"/>
              </w:rPr>
              <w:t>recommence once the data issues have been resolved</w:t>
            </w:r>
            <w:r w:rsidR="002F421D">
              <w:rPr>
                <w:sz w:val="20"/>
                <w:szCs w:val="20"/>
              </w:rPr>
              <w:t>.</w:t>
            </w:r>
          </w:p>
          <w:p w14:paraId="0431847E" w14:textId="7E2D1F9F" w:rsidR="00EF21BC" w:rsidRPr="0048460F" w:rsidRDefault="00EF21BC" w:rsidP="00C150CC">
            <w:pPr>
              <w:rPr>
                <w:b/>
                <w:color w:val="FF0000"/>
                <w:sz w:val="20"/>
                <w:szCs w:val="20"/>
              </w:rPr>
            </w:pPr>
          </w:p>
        </w:tc>
      </w:tr>
      <w:tr w:rsidR="0017605D" w:rsidRPr="005F0B23" w14:paraId="2223311F" w14:textId="77777777" w:rsidTr="005B6965">
        <w:trPr>
          <w:trHeight w:val="251"/>
        </w:trPr>
        <w:tc>
          <w:tcPr>
            <w:tcW w:w="576" w:type="dxa"/>
            <w:tcBorders>
              <w:top w:val="single" w:sz="4" w:space="0" w:color="auto"/>
              <w:left w:val="single" w:sz="4" w:space="0" w:color="auto"/>
              <w:bottom w:val="single" w:sz="4" w:space="0" w:color="auto"/>
              <w:right w:val="single" w:sz="4" w:space="0" w:color="auto"/>
            </w:tcBorders>
          </w:tcPr>
          <w:p w14:paraId="6B261AD2" w14:textId="77777777" w:rsidR="0017605D" w:rsidRPr="005F0B23" w:rsidRDefault="00BF05CB" w:rsidP="007816FE">
            <w:pPr>
              <w:rPr>
                <w:sz w:val="20"/>
                <w:szCs w:val="20"/>
              </w:rPr>
            </w:pPr>
            <w:r>
              <w:rPr>
                <w:sz w:val="20"/>
                <w:szCs w:val="20"/>
              </w:rPr>
              <w:t>9</w:t>
            </w:r>
            <w:r w:rsidR="0033298F">
              <w:rPr>
                <w:sz w:val="20"/>
                <w:szCs w:val="20"/>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0A6892FA" w14:textId="3C0CEA4E" w:rsidR="007572CE" w:rsidRDefault="007572CE" w:rsidP="007572CE">
            <w:pPr>
              <w:pStyle w:val="Default"/>
              <w:rPr>
                <w:sz w:val="20"/>
                <w:szCs w:val="20"/>
              </w:rPr>
            </w:pPr>
            <w:r>
              <w:rPr>
                <w:sz w:val="20"/>
                <w:szCs w:val="20"/>
              </w:rPr>
              <w:t xml:space="preserve">Assess and investigate allegations of fraud and abuse in the housing system working in partnership with Housing Resident Services, Housing Needs and Harrow’s </w:t>
            </w:r>
            <w:r w:rsidR="439B66C0" w:rsidRPr="4514BC5D">
              <w:rPr>
                <w:sz w:val="20"/>
                <w:szCs w:val="20"/>
              </w:rPr>
              <w:t>Registered Social Landlords (</w:t>
            </w:r>
            <w:r>
              <w:rPr>
                <w:sz w:val="20"/>
                <w:szCs w:val="20"/>
              </w:rPr>
              <w:t>RSL’s</w:t>
            </w:r>
            <w:r w:rsidR="018A397D" w:rsidRPr="4514BC5D">
              <w:rPr>
                <w:sz w:val="20"/>
                <w:szCs w:val="20"/>
              </w:rPr>
              <w:t>)</w:t>
            </w:r>
            <w:r>
              <w:rPr>
                <w:sz w:val="20"/>
                <w:szCs w:val="20"/>
              </w:rPr>
              <w:t xml:space="preserve"> including: </w:t>
            </w:r>
          </w:p>
          <w:p w14:paraId="5E2BF09D" w14:textId="77777777" w:rsidR="007572CE" w:rsidRDefault="007572CE" w:rsidP="007572CE">
            <w:pPr>
              <w:pStyle w:val="Default"/>
              <w:rPr>
                <w:sz w:val="20"/>
                <w:szCs w:val="20"/>
              </w:rPr>
            </w:pPr>
          </w:p>
          <w:p w14:paraId="41009B3B" w14:textId="67BC51DA" w:rsidR="00DE5F7A" w:rsidRPr="007D1FEF" w:rsidRDefault="007572CE" w:rsidP="007D1FEF">
            <w:pPr>
              <w:pStyle w:val="Default"/>
              <w:numPr>
                <w:ilvl w:val="0"/>
                <w:numId w:val="17"/>
              </w:numPr>
              <w:ind w:left="481" w:hanging="283"/>
              <w:rPr>
                <w:sz w:val="20"/>
                <w:szCs w:val="20"/>
              </w:rPr>
            </w:pPr>
            <w:r>
              <w:rPr>
                <w:sz w:val="20"/>
                <w:szCs w:val="20"/>
              </w:rPr>
              <w:t>Seek to recover a combined total of 10 Council social housing units and disrupt/intercept fraudulent</w:t>
            </w:r>
            <w:r w:rsidR="007D1FEF">
              <w:rPr>
                <w:sz w:val="20"/>
                <w:szCs w:val="20"/>
              </w:rPr>
              <w:t xml:space="preserve"> </w:t>
            </w:r>
            <w:r w:rsidRPr="007D1FEF">
              <w:rPr>
                <w:sz w:val="20"/>
                <w:szCs w:val="20"/>
              </w:rPr>
              <w:t>Right to Buy applications (KPI1)</w:t>
            </w:r>
          </w:p>
          <w:p w14:paraId="48FC8810" w14:textId="1AFC9CF0" w:rsidR="00DE5F7A" w:rsidRDefault="00DE5F7A" w:rsidP="00DE5F7A">
            <w:pPr>
              <w:pStyle w:val="Default"/>
              <w:ind w:left="481" w:hanging="283"/>
              <w:rPr>
                <w:sz w:val="20"/>
                <w:szCs w:val="20"/>
              </w:rPr>
            </w:pPr>
          </w:p>
          <w:p w14:paraId="1AA360AE" w14:textId="77777777" w:rsidR="00DE5F7A" w:rsidRDefault="00DE5F7A" w:rsidP="00DE5F7A">
            <w:pPr>
              <w:pStyle w:val="Default"/>
              <w:ind w:left="481" w:hanging="283"/>
              <w:rPr>
                <w:sz w:val="20"/>
                <w:szCs w:val="20"/>
              </w:rPr>
            </w:pPr>
          </w:p>
          <w:p w14:paraId="140BC2D5" w14:textId="77777777" w:rsidR="009E55A7" w:rsidRDefault="007572CE" w:rsidP="00DE5F7A">
            <w:pPr>
              <w:pStyle w:val="Default"/>
              <w:numPr>
                <w:ilvl w:val="0"/>
                <w:numId w:val="9"/>
              </w:numPr>
              <w:ind w:left="481" w:hanging="283"/>
              <w:rPr>
                <w:sz w:val="20"/>
                <w:szCs w:val="20"/>
              </w:rPr>
            </w:pPr>
            <w:r>
              <w:rPr>
                <w:sz w:val="20"/>
                <w:szCs w:val="20"/>
              </w:rPr>
              <w:t>Prevent housing application fraud through a partnership approach</w:t>
            </w:r>
            <w:r w:rsidR="0022009A">
              <w:rPr>
                <w:sz w:val="20"/>
                <w:szCs w:val="20"/>
              </w:rPr>
              <w:t xml:space="preserve"> </w:t>
            </w:r>
            <w:r>
              <w:rPr>
                <w:sz w:val="20"/>
                <w:szCs w:val="20"/>
              </w:rPr>
              <w:t xml:space="preserve">with Housing Needs providing fraud risk advice, support and the investigation of allegations of fraud </w:t>
            </w:r>
          </w:p>
          <w:p w14:paraId="431E5D4D" w14:textId="77777777" w:rsidR="009E55A7" w:rsidRDefault="009E55A7" w:rsidP="00DE5F7A">
            <w:pPr>
              <w:pStyle w:val="Default"/>
              <w:ind w:left="481" w:hanging="283"/>
              <w:rPr>
                <w:sz w:val="20"/>
                <w:szCs w:val="20"/>
              </w:rPr>
            </w:pPr>
          </w:p>
          <w:p w14:paraId="5F123E1B" w14:textId="3585CDB7" w:rsidR="00165D78" w:rsidRDefault="007572CE" w:rsidP="00DE5F7A">
            <w:pPr>
              <w:pStyle w:val="Default"/>
              <w:numPr>
                <w:ilvl w:val="0"/>
                <w:numId w:val="9"/>
              </w:numPr>
              <w:ind w:left="481" w:hanging="283"/>
              <w:rPr>
                <w:sz w:val="20"/>
                <w:szCs w:val="20"/>
              </w:rPr>
            </w:pPr>
            <w:r w:rsidRPr="009E55A7">
              <w:rPr>
                <w:sz w:val="20"/>
                <w:szCs w:val="20"/>
              </w:rPr>
              <w:t>Prevent fraudulent Right to Buy (RTB) applications through targeted application validation with a fraud check on at least 90% applications referred to the CAFT at offer stage and before completion (KPI2)</w:t>
            </w:r>
          </w:p>
          <w:p w14:paraId="44D456D3" w14:textId="7B3E5054" w:rsidR="4514BC5D" w:rsidRDefault="4514BC5D" w:rsidP="00DE5F7A">
            <w:pPr>
              <w:pStyle w:val="Default"/>
              <w:ind w:left="481" w:hanging="283"/>
              <w:rPr>
                <w:sz w:val="20"/>
                <w:szCs w:val="20"/>
              </w:rPr>
            </w:pPr>
          </w:p>
          <w:p w14:paraId="04A4255A" w14:textId="070C21BB" w:rsidR="005D611A" w:rsidRDefault="00165D78" w:rsidP="00DE5F7A">
            <w:pPr>
              <w:pStyle w:val="Default"/>
              <w:numPr>
                <w:ilvl w:val="0"/>
                <w:numId w:val="9"/>
              </w:numPr>
              <w:ind w:left="481" w:hanging="283"/>
              <w:rPr>
                <w:sz w:val="20"/>
                <w:szCs w:val="20"/>
              </w:rPr>
            </w:pPr>
            <w:r w:rsidRPr="009E55A7">
              <w:rPr>
                <w:sz w:val="20"/>
                <w:szCs w:val="20"/>
              </w:rPr>
              <w:t xml:space="preserve">Maximise the use of powers contained within the Prevention of Social Housing Fraud Act 2013 (PoSHFA) in terms of gathering evidence, investigation and prosecution of offenders and recovery of unlawful profit </w:t>
            </w:r>
          </w:p>
          <w:p w14:paraId="2839A512" w14:textId="77777777" w:rsidR="005D611A" w:rsidRDefault="005D611A" w:rsidP="00DE5F7A">
            <w:pPr>
              <w:pStyle w:val="ListParagraph"/>
              <w:ind w:left="481" w:hanging="283"/>
              <w:rPr>
                <w:sz w:val="20"/>
                <w:szCs w:val="20"/>
              </w:rPr>
            </w:pPr>
          </w:p>
          <w:p w14:paraId="0D79EFB0" w14:textId="77777777" w:rsidR="005D611A" w:rsidRDefault="005D611A" w:rsidP="00DE5F7A">
            <w:pPr>
              <w:pStyle w:val="ListParagraph"/>
              <w:ind w:left="481" w:hanging="283"/>
              <w:rPr>
                <w:sz w:val="20"/>
                <w:szCs w:val="20"/>
              </w:rPr>
            </w:pPr>
          </w:p>
          <w:p w14:paraId="780C6354" w14:textId="4A9D03B5" w:rsidR="00165D78" w:rsidRPr="005D611A" w:rsidRDefault="00165D78" w:rsidP="00DE5F7A">
            <w:pPr>
              <w:pStyle w:val="Default"/>
              <w:numPr>
                <w:ilvl w:val="0"/>
                <w:numId w:val="9"/>
              </w:numPr>
              <w:ind w:left="481" w:hanging="283"/>
              <w:rPr>
                <w:sz w:val="20"/>
                <w:szCs w:val="20"/>
              </w:rPr>
            </w:pPr>
            <w:r w:rsidRPr="005D611A">
              <w:rPr>
                <w:sz w:val="20"/>
                <w:szCs w:val="20"/>
              </w:rPr>
              <w:t xml:space="preserve">Plan and implement a proactive anti-fraud datamatching exercise to </w:t>
            </w:r>
            <w:r w:rsidRPr="005D611A">
              <w:rPr>
                <w:sz w:val="20"/>
                <w:szCs w:val="20"/>
              </w:rPr>
              <w:lastRenderedPageBreak/>
              <w:t xml:space="preserve">identify the misuse of Council social housing </w:t>
            </w:r>
          </w:p>
        </w:tc>
        <w:tc>
          <w:tcPr>
            <w:tcW w:w="6124" w:type="dxa"/>
            <w:tcBorders>
              <w:top w:val="single" w:sz="4" w:space="0" w:color="auto"/>
              <w:left w:val="nil"/>
              <w:bottom w:val="single" w:sz="4" w:space="0" w:color="auto"/>
              <w:right w:val="single" w:sz="4" w:space="0" w:color="auto"/>
            </w:tcBorders>
            <w:shd w:val="clear" w:color="auto" w:fill="auto"/>
          </w:tcPr>
          <w:p w14:paraId="0FCC604D" w14:textId="5315579B" w:rsidR="001F70BC" w:rsidRPr="00E52974" w:rsidRDefault="006310FF" w:rsidP="003C347A">
            <w:pPr>
              <w:rPr>
                <w:b/>
                <w:sz w:val="20"/>
                <w:szCs w:val="20"/>
              </w:rPr>
            </w:pPr>
            <w:r w:rsidRPr="00E52974">
              <w:rPr>
                <w:b/>
                <w:sz w:val="20"/>
                <w:szCs w:val="20"/>
              </w:rPr>
              <w:lastRenderedPageBreak/>
              <w:t xml:space="preserve">Objective </w:t>
            </w:r>
            <w:r w:rsidR="00D337A0" w:rsidRPr="00E52974">
              <w:rPr>
                <w:b/>
                <w:sz w:val="20"/>
                <w:szCs w:val="20"/>
              </w:rPr>
              <w:t>achieved</w:t>
            </w:r>
          </w:p>
          <w:p w14:paraId="76CD30E3" w14:textId="77777777" w:rsidR="001F70BC" w:rsidRPr="00E52974" w:rsidRDefault="001F70BC" w:rsidP="003C347A">
            <w:pPr>
              <w:rPr>
                <w:b/>
                <w:sz w:val="20"/>
                <w:szCs w:val="20"/>
              </w:rPr>
            </w:pPr>
          </w:p>
          <w:p w14:paraId="61856295" w14:textId="77777777" w:rsidR="00DE5F7A" w:rsidRDefault="00DE5F7A" w:rsidP="00251BF6">
            <w:pPr>
              <w:rPr>
                <w:b/>
                <w:sz w:val="20"/>
                <w:szCs w:val="20"/>
              </w:rPr>
            </w:pPr>
          </w:p>
          <w:p w14:paraId="5B5EC85F" w14:textId="77777777" w:rsidR="00DE5F7A" w:rsidRDefault="00DE5F7A" w:rsidP="00251BF6">
            <w:pPr>
              <w:rPr>
                <w:b/>
                <w:sz w:val="20"/>
                <w:szCs w:val="20"/>
              </w:rPr>
            </w:pPr>
          </w:p>
          <w:p w14:paraId="6C8F8317" w14:textId="77777777" w:rsidR="00DE5F7A" w:rsidRDefault="00DE5F7A" w:rsidP="00251BF6">
            <w:pPr>
              <w:rPr>
                <w:b/>
                <w:sz w:val="20"/>
                <w:szCs w:val="20"/>
              </w:rPr>
            </w:pPr>
          </w:p>
          <w:p w14:paraId="44C507E6" w14:textId="0EB53382" w:rsidR="00FF1383" w:rsidRPr="00251BF6" w:rsidRDefault="0017605D" w:rsidP="00251BF6">
            <w:pPr>
              <w:rPr>
                <w:b/>
                <w:sz w:val="20"/>
                <w:szCs w:val="20"/>
              </w:rPr>
            </w:pPr>
            <w:r w:rsidRPr="00251BF6">
              <w:rPr>
                <w:b/>
                <w:sz w:val="20"/>
                <w:szCs w:val="20"/>
              </w:rPr>
              <w:t>Tenancy recoveries</w:t>
            </w:r>
            <w:r w:rsidR="00FF1383" w:rsidRPr="00251BF6">
              <w:rPr>
                <w:b/>
                <w:sz w:val="20"/>
                <w:szCs w:val="20"/>
              </w:rPr>
              <w:t xml:space="preserve"> &amp; Right to Buy applications disrupted/intercepted</w:t>
            </w:r>
            <w:r w:rsidR="00030519" w:rsidRPr="00251BF6">
              <w:rPr>
                <w:b/>
                <w:sz w:val="20"/>
                <w:szCs w:val="20"/>
              </w:rPr>
              <w:t xml:space="preserve"> work stream</w:t>
            </w:r>
          </w:p>
          <w:p w14:paraId="3DAC36C7" w14:textId="54E22478" w:rsidR="00EF4AC7" w:rsidRDefault="0017605D" w:rsidP="00FF1383">
            <w:pPr>
              <w:rPr>
                <w:sz w:val="20"/>
                <w:szCs w:val="20"/>
              </w:rPr>
            </w:pPr>
            <w:r w:rsidRPr="00E52974">
              <w:rPr>
                <w:sz w:val="20"/>
                <w:szCs w:val="20"/>
              </w:rPr>
              <w:t>Working in partnership with Housing Resident Services</w:t>
            </w:r>
            <w:r w:rsidR="00FF1383" w:rsidRPr="00E52974">
              <w:rPr>
                <w:sz w:val="20"/>
                <w:szCs w:val="20"/>
              </w:rPr>
              <w:t>,</w:t>
            </w:r>
            <w:r w:rsidRPr="00E52974">
              <w:rPr>
                <w:sz w:val="20"/>
                <w:szCs w:val="20"/>
              </w:rPr>
              <w:t xml:space="preserve"> Harrow’s </w:t>
            </w:r>
            <w:r w:rsidR="00C227D7" w:rsidRPr="00E52974">
              <w:rPr>
                <w:sz w:val="20"/>
                <w:szCs w:val="20"/>
              </w:rPr>
              <w:t>RSL’s</w:t>
            </w:r>
            <w:r w:rsidR="00C64D28" w:rsidRPr="00E52974">
              <w:rPr>
                <w:sz w:val="20"/>
                <w:szCs w:val="20"/>
              </w:rPr>
              <w:t xml:space="preserve">, </w:t>
            </w:r>
            <w:r w:rsidR="00FF1383" w:rsidRPr="00E52974">
              <w:rPr>
                <w:sz w:val="20"/>
                <w:szCs w:val="20"/>
              </w:rPr>
              <w:t>Leasehold Services and HB Public Law</w:t>
            </w:r>
            <w:r w:rsidR="007D6A00" w:rsidRPr="00E52974">
              <w:rPr>
                <w:sz w:val="20"/>
                <w:szCs w:val="20"/>
              </w:rPr>
              <w:t xml:space="preserve">, </w:t>
            </w:r>
            <w:r w:rsidR="008F63DE" w:rsidRPr="00E52974">
              <w:rPr>
                <w:sz w:val="20"/>
                <w:szCs w:val="20"/>
              </w:rPr>
              <w:t>5</w:t>
            </w:r>
            <w:r w:rsidR="00B703D1" w:rsidRPr="00E52974">
              <w:rPr>
                <w:sz w:val="20"/>
                <w:szCs w:val="20"/>
              </w:rPr>
              <w:t xml:space="preserve"> </w:t>
            </w:r>
            <w:r w:rsidR="008601E1" w:rsidRPr="00E52974">
              <w:rPr>
                <w:sz w:val="20"/>
                <w:szCs w:val="20"/>
              </w:rPr>
              <w:t xml:space="preserve">council </w:t>
            </w:r>
            <w:r w:rsidRPr="00E52974">
              <w:rPr>
                <w:sz w:val="20"/>
                <w:szCs w:val="20"/>
              </w:rPr>
              <w:t>housing tenanc</w:t>
            </w:r>
            <w:r w:rsidR="00D337A0" w:rsidRPr="00E52974">
              <w:rPr>
                <w:sz w:val="20"/>
                <w:szCs w:val="20"/>
              </w:rPr>
              <w:t>ies</w:t>
            </w:r>
            <w:r w:rsidR="005A41F8" w:rsidRPr="00E52974">
              <w:rPr>
                <w:sz w:val="20"/>
                <w:szCs w:val="20"/>
              </w:rPr>
              <w:t xml:space="preserve"> </w:t>
            </w:r>
            <w:r w:rsidR="00D42642">
              <w:rPr>
                <w:rStyle w:val="FootnoteReference"/>
                <w:sz w:val="20"/>
                <w:szCs w:val="20"/>
              </w:rPr>
              <w:footnoteReference w:id="2"/>
            </w:r>
            <w:r w:rsidRPr="00E52974">
              <w:rPr>
                <w:sz w:val="20"/>
                <w:szCs w:val="20"/>
              </w:rPr>
              <w:t>w</w:t>
            </w:r>
            <w:r w:rsidR="00D337A0" w:rsidRPr="00E52974">
              <w:rPr>
                <w:sz w:val="20"/>
                <w:szCs w:val="20"/>
              </w:rPr>
              <w:t>ere</w:t>
            </w:r>
            <w:r w:rsidRPr="00E52974">
              <w:rPr>
                <w:sz w:val="20"/>
                <w:szCs w:val="20"/>
              </w:rPr>
              <w:t xml:space="preserve"> recovered</w:t>
            </w:r>
            <w:r w:rsidR="00AD72FB" w:rsidRPr="00E52974">
              <w:rPr>
                <w:sz w:val="20"/>
                <w:szCs w:val="20"/>
              </w:rPr>
              <w:t xml:space="preserve"> </w:t>
            </w:r>
            <w:r w:rsidR="00B07B9F" w:rsidRPr="00E52974">
              <w:rPr>
                <w:sz w:val="20"/>
                <w:szCs w:val="20"/>
              </w:rPr>
              <w:t xml:space="preserve">resulting in a </w:t>
            </w:r>
            <w:r w:rsidR="007C6430" w:rsidRPr="00E52974">
              <w:rPr>
                <w:sz w:val="20"/>
                <w:szCs w:val="20"/>
              </w:rPr>
              <w:t xml:space="preserve">fraud </w:t>
            </w:r>
            <w:r w:rsidR="00B07B9F" w:rsidRPr="00E52974">
              <w:rPr>
                <w:sz w:val="20"/>
                <w:szCs w:val="20"/>
              </w:rPr>
              <w:t xml:space="preserve">loss </w:t>
            </w:r>
            <w:r w:rsidR="001F45FF">
              <w:rPr>
                <w:sz w:val="20"/>
                <w:szCs w:val="20"/>
              </w:rPr>
              <w:t>prevention</w:t>
            </w:r>
            <w:r w:rsidR="00B07B9F" w:rsidRPr="00E52974">
              <w:rPr>
                <w:sz w:val="20"/>
                <w:szCs w:val="20"/>
              </w:rPr>
              <w:t xml:space="preserve"> </w:t>
            </w:r>
            <w:r w:rsidR="000F6C65" w:rsidRPr="00E52974">
              <w:rPr>
                <w:sz w:val="20"/>
                <w:szCs w:val="20"/>
              </w:rPr>
              <w:t>saving</w:t>
            </w:r>
            <w:r w:rsidR="00B07B9F" w:rsidRPr="00E52974">
              <w:rPr>
                <w:sz w:val="20"/>
                <w:szCs w:val="20"/>
              </w:rPr>
              <w:t xml:space="preserve"> of £465,000 (</w:t>
            </w:r>
            <w:r w:rsidR="00EF408A" w:rsidRPr="00E52974">
              <w:rPr>
                <w:sz w:val="20"/>
                <w:szCs w:val="20"/>
              </w:rPr>
              <w:t>£</w:t>
            </w:r>
            <w:r w:rsidR="00B07B9F" w:rsidRPr="00E52974">
              <w:rPr>
                <w:sz w:val="20"/>
                <w:szCs w:val="20"/>
              </w:rPr>
              <w:t xml:space="preserve">93,000 x 5) </w:t>
            </w:r>
            <w:r w:rsidR="00B703D1" w:rsidRPr="00E52974">
              <w:rPr>
                <w:sz w:val="20"/>
                <w:szCs w:val="20"/>
              </w:rPr>
              <w:t xml:space="preserve">and </w:t>
            </w:r>
            <w:r w:rsidR="00AD72FB" w:rsidRPr="00E52974">
              <w:rPr>
                <w:sz w:val="20"/>
                <w:szCs w:val="20"/>
              </w:rPr>
              <w:t>6</w:t>
            </w:r>
            <w:r w:rsidR="00B703D1" w:rsidRPr="00E52974">
              <w:rPr>
                <w:sz w:val="20"/>
                <w:szCs w:val="20"/>
              </w:rPr>
              <w:t xml:space="preserve"> Right to Buys</w:t>
            </w:r>
            <w:r w:rsidR="005A41F8" w:rsidRPr="00E52974">
              <w:rPr>
                <w:sz w:val="20"/>
                <w:szCs w:val="20"/>
              </w:rPr>
              <w:t xml:space="preserve"> </w:t>
            </w:r>
            <w:r w:rsidR="00B703D1" w:rsidRPr="00E52974">
              <w:rPr>
                <w:sz w:val="20"/>
                <w:szCs w:val="20"/>
              </w:rPr>
              <w:t xml:space="preserve">were </w:t>
            </w:r>
            <w:r w:rsidR="007D20F1" w:rsidRPr="00E52974">
              <w:rPr>
                <w:sz w:val="20"/>
                <w:szCs w:val="20"/>
              </w:rPr>
              <w:t>de</w:t>
            </w:r>
            <w:r w:rsidR="00B07B9F" w:rsidRPr="00E52974">
              <w:rPr>
                <w:sz w:val="20"/>
                <w:szCs w:val="20"/>
              </w:rPr>
              <w:t>clined</w:t>
            </w:r>
            <w:r w:rsidR="000F6C65" w:rsidRPr="00E52974">
              <w:rPr>
                <w:sz w:val="20"/>
                <w:szCs w:val="20"/>
              </w:rPr>
              <w:t xml:space="preserve"> resulting in a </w:t>
            </w:r>
            <w:r w:rsidR="007C6430" w:rsidRPr="00E52974">
              <w:rPr>
                <w:sz w:val="20"/>
                <w:szCs w:val="20"/>
              </w:rPr>
              <w:t xml:space="preserve">fraud </w:t>
            </w:r>
            <w:r w:rsidR="000F6C65" w:rsidRPr="00E52974">
              <w:rPr>
                <w:sz w:val="20"/>
                <w:szCs w:val="20"/>
              </w:rPr>
              <w:t xml:space="preserve">loss </w:t>
            </w:r>
            <w:r w:rsidR="001F45FF">
              <w:rPr>
                <w:sz w:val="20"/>
                <w:szCs w:val="20"/>
              </w:rPr>
              <w:t>prevention</w:t>
            </w:r>
            <w:r w:rsidR="000F6C65" w:rsidRPr="00E52974">
              <w:rPr>
                <w:sz w:val="20"/>
                <w:szCs w:val="20"/>
              </w:rPr>
              <w:t xml:space="preserve"> saving of £</w:t>
            </w:r>
            <w:r w:rsidR="00A8415F" w:rsidRPr="00E52974">
              <w:rPr>
                <w:sz w:val="20"/>
                <w:szCs w:val="20"/>
              </w:rPr>
              <w:t>675,300</w:t>
            </w:r>
            <w:r w:rsidR="00682120" w:rsidRPr="00E52974">
              <w:rPr>
                <w:sz w:val="20"/>
                <w:szCs w:val="20"/>
              </w:rPr>
              <w:t xml:space="preserve"> (</w:t>
            </w:r>
            <w:r w:rsidR="00EF408A" w:rsidRPr="00E52974">
              <w:rPr>
                <w:sz w:val="20"/>
                <w:szCs w:val="20"/>
              </w:rPr>
              <w:t>£</w:t>
            </w:r>
            <w:r w:rsidR="00682120" w:rsidRPr="00E52974">
              <w:rPr>
                <w:sz w:val="20"/>
                <w:szCs w:val="20"/>
              </w:rPr>
              <w:t xml:space="preserve">112,300 x 3 &amp; </w:t>
            </w:r>
            <w:r w:rsidR="00EF408A" w:rsidRPr="00E52974">
              <w:rPr>
                <w:sz w:val="20"/>
                <w:szCs w:val="20"/>
              </w:rPr>
              <w:t>£</w:t>
            </w:r>
            <w:r w:rsidR="00682120" w:rsidRPr="00E52974">
              <w:rPr>
                <w:sz w:val="20"/>
                <w:szCs w:val="20"/>
              </w:rPr>
              <w:t>112,800</w:t>
            </w:r>
            <w:r w:rsidR="0035323D" w:rsidRPr="00E52974">
              <w:rPr>
                <w:sz w:val="20"/>
                <w:szCs w:val="20"/>
              </w:rPr>
              <w:t xml:space="preserve"> x 3)</w:t>
            </w:r>
            <w:r w:rsidR="00FD3732" w:rsidRPr="00E52974">
              <w:rPr>
                <w:sz w:val="20"/>
                <w:szCs w:val="20"/>
              </w:rPr>
              <w:t>.</w:t>
            </w:r>
            <w:r w:rsidR="00FD1089" w:rsidRPr="00E52974">
              <w:rPr>
                <w:sz w:val="20"/>
                <w:szCs w:val="20"/>
              </w:rPr>
              <w:t xml:space="preserve"> </w:t>
            </w:r>
            <w:r w:rsidR="00A10920" w:rsidRPr="00E52974">
              <w:rPr>
                <w:rStyle w:val="FootnoteReference"/>
                <w:b/>
                <w:sz w:val="20"/>
                <w:szCs w:val="20"/>
              </w:rPr>
              <w:footnoteReference w:id="3"/>
            </w:r>
          </w:p>
          <w:p w14:paraId="70BB87FE" w14:textId="77777777" w:rsidR="006A0270" w:rsidRDefault="006A0270" w:rsidP="00FF1383">
            <w:pPr>
              <w:rPr>
                <w:sz w:val="20"/>
                <w:szCs w:val="20"/>
              </w:rPr>
            </w:pPr>
          </w:p>
          <w:p w14:paraId="06AEFD57" w14:textId="77777777" w:rsidR="004A475A" w:rsidRDefault="006A0270" w:rsidP="00FF1383">
            <w:pPr>
              <w:rPr>
                <w:sz w:val="20"/>
                <w:szCs w:val="20"/>
              </w:rPr>
            </w:pPr>
            <w:r>
              <w:rPr>
                <w:sz w:val="20"/>
                <w:szCs w:val="20"/>
              </w:rPr>
              <w:t xml:space="preserve">In </w:t>
            </w:r>
            <w:r w:rsidR="003E048F">
              <w:rPr>
                <w:sz w:val="20"/>
                <w:szCs w:val="20"/>
              </w:rPr>
              <w:t xml:space="preserve">relation to one of the </w:t>
            </w:r>
            <w:r w:rsidR="00722B57">
              <w:rPr>
                <w:sz w:val="20"/>
                <w:szCs w:val="20"/>
              </w:rPr>
              <w:t>t</w:t>
            </w:r>
            <w:r w:rsidR="000A589E">
              <w:rPr>
                <w:sz w:val="20"/>
                <w:szCs w:val="20"/>
              </w:rPr>
              <w:t>enancy recoveries,</w:t>
            </w:r>
            <w:r w:rsidR="00722B57">
              <w:rPr>
                <w:sz w:val="20"/>
                <w:szCs w:val="20"/>
              </w:rPr>
              <w:t xml:space="preserve"> the authority was awarded £11,567.98</w:t>
            </w:r>
            <w:r w:rsidR="00A6127D">
              <w:rPr>
                <w:sz w:val="20"/>
                <w:szCs w:val="20"/>
              </w:rPr>
              <w:t xml:space="preserve"> in court costs and an unlawful profit order </w:t>
            </w:r>
            <w:r w:rsidR="00752B95">
              <w:rPr>
                <w:sz w:val="20"/>
                <w:szCs w:val="20"/>
              </w:rPr>
              <w:t>amounting to £</w:t>
            </w:r>
            <w:r w:rsidR="00B96F63">
              <w:rPr>
                <w:sz w:val="20"/>
                <w:szCs w:val="20"/>
              </w:rPr>
              <w:t>3,4</w:t>
            </w:r>
            <w:r w:rsidR="004A475A">
              <w:rPr>
                <w:sz w:val="20"/>
                <w:szCs w:val="20"/>
              </w:rPr>
              <w:t xml:space="preserve">39.16 </w:t>
            </w:r>
            <w:r w:rsidR="00A6127D">
              <w:rPr>
                <w:sz w:val="20"/>
                <w:szCs w:val="20"/>
              </w:rPr>
              <w:t>following a court hearing for possession</w:t>
            </w:r>
            <w:r w:rsidR="004A475A">
              <w:rPr>
                <w:sz w:val="20"/>
                <w:szCs w:val="20"/>
              </w:rPr>
              <w:t>.</w:t>
            </w:r>
          </w:p>
          <w:p w14:paraId="2FA8B1F0" w14:textId="59D697AB" w:rsidR="00FF1383" w:rsidRPr="00E52974" w:rsidRDefault="000A589E" w:rsidP="00FF1383">
            <w:pPr>
              <w:rPr>
                <w:sz w:val="20"/>
                <w:szCs w:val="20"/>
              </w:rPr>
            </w:pPr>
            <w:r>
              <w:rPr>
                <w:sz w:val="20"/>
                <w:szCs w:val="20"/>
              </w:rPr>
              <w:t xml:space="preserve"> </w:t>
            </w:r>
            <w:r w:rsidR="00FF1383" w:rsidRPr="00E52974">
              <w:rPr>
                <w:b/>
                <w:sz w:val="20"/>
                <w:szCs w:val="20"/>
              </w:rPr>
              <w:t xml:space="preserve">KPI1 target </w:t>
            </w:r>
            <w:r w:rsidR="00C8544B" w:rsidRPr="00E52974">
              <w:rPr>
                <w:b/>
                <w:sz w:val="20"/>
                <w:szCs w:val="20"/>
              </w:rPr>
              <w:t>10</w:t>
            </w:r>
            <w:r w:rsidR="00673C95" w:rsidRPr="00E52974">
              <w:rPr>
                <w:b/>
                <w:sz w:val="20"/>
                <w:szCs w:val="20"/>
              </w:rPr>
              <w:t>,</w:t>
            </w:r>
            <w:r w:rsidR="00BB10F0" w:rsidRPr="00E52974">
              <w:rPr>
                <w:b/>
                <w:sz w:val="20"/>
                <w:szCs w:val="20"/>
              </w:rPr>
              <w:t xml:space="preserve"> </w:t>
            </w:r>
            <w:r w:rsidR="00FF1383" w:rsidRPr="00E52974">
              <w:rPr>
                <w:b/>
                <w:sz w:val="20"/>
                <w:szCs w:val="20"/>
              </w:rPr>
              <w:t xml:space="preserve">achieved </w:t>
            </w:r>
            <w:r w:rsidR="00D76E2B" w:rsidRPr="00E52974">
              <w:rPr>
                <w:b/>
                <w:sz w:val="20"/>
                <w:szCs w:val="20"/>
              </w:rPr>
              <w:t>1</w:t>
            </w:r>
            <w:r w:rsidR="00897781" w:rsidRPr="00E52974">
              <w:rPr>
                <w:b/>
                <w:sz w:val="20"/>
                <w:szCs w:val="20"/>
              </w:rPr>
              <w:t>1</w:t>
            </w:r>
            <w:r w:rsidR="00261239" w:rsidRPr="00E52974">
              <w:rPr>
                <w:b/>
                <w:sz w:val="20"/>
                <w:szCs w:val="20"/>
              </w:rPr>
              <w:t xml:space="preserve"> (1</w:t>
            </w:r>
            <w:r w:rsidR="00897781" w:rsidRPr="00E52974">
              <w:rPr>
                <w:b/>
                <w:sz w:val="20"/>
                <w:szCs w:val="20"/>
              </w:rPr>
              <w:t>1</w:t>
            </w:r>
            <w:r w:rsidR="00261239" w:rsidRPr="00E52974">
              <w:rPr>
                <w:b/>
                <w:sz w:val="20"/>
                <w:szCs w:val="20"/>
              </w:rPr>
              <w:t>0%)</w:t>
            </w:r>
            <w:r w:rsidR="00FF1383" w:rsidRPr="00E52974">
              <w:rPr>
                <w:b/>
                <w:sz w:val="20"/>
                <w:szCs w:val="20"/>
              </w:rPr>
              <w:t xml:space="preserve"> </w:t>
            </w:r>
          </w:p>
          <w:p w14:paraId="75BF00E0" w14:textId="77777777" w:rsidR="007D6A00" w:rsidRPr="00E52974" w:rsidRDefault="007D6A00" w:rsidP="008937A7">
            <w:pPr>
              <w:rPr>
                <w:sz w:val="20"/>
                <w:szCs w:val="20"/>
              </w:rPr>
            </w:pPr>
          </w:p>
          <w:p w14:paraId="4F0FD343" w14:textId="77777777" w:rsidR="000E50DC" w:rsidRPr="00251BF6" w:rsidRDefault="000E50DC" w:rsidP="00251BF6">
            <w:pPr>
              <w:rPr>
                <w:b/>
                <w:bCs/>
                <w:sz w:val="20"/>
                <w:szCs w:val="20"/>
              </w:rPr>
            </w:pPr>
            <w:r w:rsidRPr="00251BF6">
              <w:rPr>
                <w:b/>
                <w:bCs/>
                <w:sz w:val="20"/>
                <w:szCs w:val="20"/>
              </w:rPr>
              <w:t>Housing Applications work stream</w:t>
            </w:r>
          </w:p>
          <w:p w14:paraId="0EC5374B" w14:textId="7B72760E" w:rsidR="000E50DC" w:rsidRPr="00C903AB" w:rsidRDefault="00E8C157" w:rsidP="008937A7">
            <w:pPr>
              <w:rPr>
                <w:sz w:val="20"/>
                <w:szCs w:val="20"/>
              </w:rPr>
            </w:pPr>
            <w:r w:rsidRPr="4514BC5D">
              <w:rPr>
                <w:sz w:val="20"/>
                <w:szCs w:val="20"/>
              </w:rPr>
              <w:t xml:space="preserve">The team received </w:t>
            </w:r>
            <w:r w:rsidR="2FCC0C1B" w:rsidRPr="4514BC5D">
              <w:rPr>
                <w:sz w:val="20"/>
                <w:szCs w:val="20"/>
              </w:rPr>
              <w:t>one</w:t>
            </w:r>
            <w:r w:rsidR="000E50DC" w:rsidRPr="00E52974">
              <w:rPr>
                <w:sz w:val="20"/>
                <w:szCs w:val="20"/>
              </w:rPr>
              <w:t xml:space="preserve"> housing application referral during the year</w:t>
            </w:r>
            <w:r w:rsidR="003A0D09" w:rsidRPr="00E52974">
              <w:rPr>
                <w:sz w:val="20"/>
                <w:szCs w:val="20"/>
              </w:rPr>
              <w:t xml:space="preserve"> which is still a live investigation</w:t>
            </w:r>
            <w:r w:rsidR="00F81124" w:rsidRPr="00E52974">
              <w:rPr>
                <w:sz w:val="20"/>
                <w:szCs w:val="20"/>
              </w:rPr>
              <w:t>.</w:t>
            </w:r>
            <w:r w:rsidR="000E50DC" w:rsidRPr="00E52974">
              <w:rPr>
                <w:sz w:val="20"/>
                <w:szCs w:val="20"/>
              </w:rPr>
              <w:t xml:space="preserve"> </w:t>
            </w:r>
          </w:p>
          <w:p w14:paraId="6B1B2CDD" w14:textId="77777777" w:rsidR="00DE5F7A" w:rsidRDefault="00DE5F7A" w:rsidP="00251BF6">
            <w:pPr>
              <w:rPr>
                <w:b/>
                <w:sz w:val="20"/>
                <w:szCs w:val="20"/>
              </w:rPr>
            </w:pPr>
          </w:p>
          <w:p w14:paraId="4DC46EFD" w14:textId="77777777" w:rsidR="00DE5F7A" w:rsidRDefault="00DE5F7A" w:rsidP="00251BF6">
            <w:pPr>
              <w:rPr>
                <w:b/>
                <w:sz w:val="20"/>
                <w:szCs w:val="20"/>
              </w:rPr>
            </w:pPr>
          </w:p>
          <w:p w14:paraId="3B919686" w14:textId="03E2C179" w:rsidR="007D6A00" w:rsidRPr="00251BF6" w:rsidRDefault="00A31D7E" w:rsidP="00251BF6">
            <w:pPr>
              <w:rPr>
                <w:b/>
                <w:sz w:val="20"/>
                <w:szCs w:val="20"/>
              </w:rPr>
            </w:pPr>
            <w:r w:rsidRPr="00251BF6">
              <w:rPr>
                <w:b/>
                <w:sz w:val="20"/>
                <w:szCs w:val="20"/>
              </w:rPr>
              <w:t xml:space="preserve">RTB work stream </w:t>
            </w:r>
          </w:p>
          <w:p w14:paraId="5B4863FA" w14:textId="73572C38" w:rsidR="0017605D" w:rsidRPr="00E52974" w:rsidRDefault="007D6A00" w:rsidP="008937A7">
            <w:pPr>
              <w:rPr>
                <w:b/>
                <w:sz w:val="20"/>
                <w:szCs w:val="20"/>
              </w:rPr>
            </w:pPr>
            <w:r w:rsidRPr="00E52974">
              <w:rPr>
                <w:sz w:val="20"/>
                <w:szCs w:val="20"/>
              </w:rPr>
              <w:t xml:space="preserve">Out of a total of </w:t>
            </w:r>
            <w:r w:rsidR="004216B7" w:rsidRPr="00E52974">
              <w:rPr>
                <w:sz w:val="20"/>
                <w:szCs w:val="20"/>
              </w:rPr>
              <w:t>19</w:t>
            </w:r>
            <w:r w:rsidRPr="00E52974">
              <w:rPr>
                <w:sz w:val="20"/>
                <w:szCs w:val="20"/>
              </w:rPr>
              <w:t xml:space="preserve"> Right to Buy applications received by the team, all </w:t>
            </w:r>
            <w:r w:rsidR="004216B7" w:rsidRPr="00E52974">
              <w:rPr>
                <w:sz w:val="20"/>
                <w:szCs w:val="20"/>
              </w:rPr>
              <w:t>19</w:t>
            </w:r>
            <w:r w:rsidR="00505743" w:rsidRPr="00E52974">
              <w:rPr>
                <w:sz w:val="20"/>
                <w:szCs w:val="20"/>
              </w:rPr>
              <w:t xml:space="preserve"> </w:t>
            </w:r>
            <w:r w:rsidR="00320F84" w:rsidRPr="00E52974">
              <w:rPr>
                <w:sz w:val="20"/>
                <w:szCs w:val="20"/>
              </w:rPr>
              <w:t xml:space="preserve">were fraud </w:t>
            </w:r>
            <w:r w:rsidRPr="00E52974">
              <w:rPr>
                <w:sz w:val="20"/>
                <w:szCs w:val="20"/>
              </w:rPr>
              <w:t xml:space="preserve">checked </w:t>
            </w:r>
            <w:r w:rsidR="00505743" w:rsidRPr="00E52974">
              <w:rPr>
                <w:sz w:val="20"/>
                <w:szCs w:val="20"/>
              </w:rPr>
              <w:t xml:space="preserve">or </w:t>
            </w:r>
            <w:r w:rsidR="00320F84" w:rsidRPr="00E52974">
              <w:rPr>
                <w:sz w:val="20"/>
                <w:szCs w:val="20"/>
              </w:rPr>
              <w:t>were</w:t>
            </w:r>
            <w:r w:rsidR="00505743" w:rsidRPr="00E52974">
              <w:rPr>
                <w:sz w:val="20"/>
                <w:szCs w:val="20"/>
              </w:rPr>
              <w:t xml:space="preserve"> in the process of being fraud checked</w:t>
            </w:r>
            <w:r w:rsidRPr="00E52974">
              <w:rPr>
                <w:sz w:val="20"/>
                <w:szCs w:val="20"/>
              </w:rPr>
              <w:t xml:space="preserve"> before purchase or the application determined (denied</w:t>
            </w:r>
            <w:r w:rsidR="007D65B8" w:rsidRPr="00E52974">
              <w:rPr>
                <w:sz w:val="20"/>
                <w:szCs w:val="20"/>
              </w:rPr>
              <w:t xml:space="preserve"> or accepted</w:t>
            </w:r>
            <w:r w:rsidRPr="00E52974">
              <w:rPr>
                <w:sz w:val="20"/>
                <w:szCs w:val="20"/>
              </w:rPr>
              <w:t>)</w:t>
            </w:r>
            <w:r w:rsidR="00505743" w:rsidRPr="00E52974">
              <w:rPr>
                <w:sz w:val="20"/>
                <w:szCs w:val="20"/>
              </w:rPr>
              <w:t>.</w:t>
            </w:r>
          </w:p>
          <w:p w14:paraId="03304ABC" w14:textId="7A4A55E5" w:rsidR="0017605D" w:rsidRPr="00E52974" w:rsidRDefault="0017605D" w:rsidP="008937A7">
            <w:pPr>
              <w:rPr>
                <w:b/>
                <w:sz w:val="20"/>
                <w:szCs w:val="20"/>
              </w:rPr>
            </w:pPr>
            <w:r w:rsidRPr="00E52974">
              <w:rPr>
                <w:b/>
                <w:sz w:val="20"/>
                <w:szCs w:val="20"/>
              </w:rPr>
              <w:t>KPI2 target 90%</w:t>
            </w:r>
            <w:r w:rsidR="00A31D7E" w:rsidRPr="00E52974">
              <w:rPr>
                <w:b/>
                <w:sz w:val="20"/>
                <w:szCs w:val="20"/>
              </w:rPr>
              <w:t>, achiev</w:t>
            </w:r>
            <w:r w:rsidR="00C8544B" w:rsidRPr="00E52974">
              <w:rPr>
                <w:b/>
                <w:sz w:val="20"/>
                <w:szCs w:val="20"/>
              </w:rPr>
              <w:t>ed</w:t>
            </w:r>
            <w:r w:rsidR="00A31D7E" w:rsidRPr="00E52974">
              <w:rPr>
                <w:b/>
                <w:sz w:val="20"/>
                <w:szCs w:val="20"/>
              </w:rPr>
              <w:t xml:space="preserve"> 100%</w:t>
            </w:r>
          </w:p>
          <w:p w14:paraId="77AD213B" w14:textId="47E0DB87" w:rsidR="00DE5F7A" w:rsidRDefault="00DE5F7A" w:rsidP="00EF7582">
            <w:pPr>
              <w:rPr>
                <w:b/>
                <w:sz w:val="20"/>
                <w:szCs w:val="20"/>
              </w:rPr>
            </w:pPr>
          </w:p>
          <w:p w14:paraId="1852B711" w14:textId="77777777" w:rsidR="00DE5F7A" w:rsidRDefault="00DE5F7A" w:rsidP="00EF7582">
            <w:pPr>
              <w:rPr>
                <w:b/>
                <w:sz w:val="20"/>
                <w:szCs w:val="20"/>
              </w:rPr>
            </w:pPr>
          </w:p>
          <w:p w14:paraId="28A485F4" w14:textId="64B52489" w:rsidR="0017605D" w:rsidRPr="00251BF6" w:rsidRDefault="0017605D" w:rsidP="00251BF6">
            <w:pPr>
              <w:rPr>
                <w:b/>
                <w:sz w:val="20"/>
                <w:szCs w:val="20"/>
              </w:rPr>
            </w:pPr>
            <w:r w:rsidRPr="00251BF6">
              <w:rPr>
                <w:b/>
                <w:sz w:val="20"/>
                <w:szCs w:val="20"/>
              </w:rPr>
              <w:t xml:space="preserve">PoSHFA </w:t>
            </w:r>
            <w:r w:rsidR="004F1B1F" w:rsidRPr="00251BF6">
              <w:rPr>
                <w:b/>
                <w:sz w:val="20"/>
                <w:szCs w:val="20"/>
              </w:rPr>
              <w:t>2013 Powers wor</w:t>
            </w:r>
            <w:r w:rsidR="00451955" w:rsidRPr="00251BF6">
              <w:rPr>
                <w:b/>
                <w:sz w:val="20"/>
                <w:szCs w:val="20"/>
              </w:rPr>
              <w:t>k stream</w:t>
            </w:r>
          </w:p>
          <w:p w14:paraId="4AB39C89" w14:textId="7CC87C93" w:rsidR="0017605D" w:rsidRPr="00E52974" w:rsidRDefault="0017605D" w:rsidP="00EF7582">
            <w:pPr>
              <w:rPr>
                <w:sz w:val="20"/>
                <w:szCs w:val="20"/>
              </w:rPr>
            </w:pPr>
            <w:r w:rsidRPr="00E52974">
              <w:rPr>
                <w:sz w:val="20"/>
                <w:szCs w:val="20"/>
              </w:rPr>
              <w:t xml:space="preserve">The authority has utilised powers contained within the above act through requests to the NAFN on </w:t>
            </w:r>
            <w:r w:rsidR="00870039" w:rsidRPr="00E52974">
              <w:rPr>
                <w:sz w:val="20"/>
                <w:szCs w:val="20"/>
              </w:rPr>
              <w:t>1</w:t>
            </w:r>
            <w:r w:rsidR="00D5240E">
              <w:rPr>
                <w:sz w:val="20"/>
                <w:szCs w:val="20"/>
              </w:rPr>
              <w:t>8</w:t>
            </w:r>
            <w:r w:rsidR="00451955" w:rsidRPr="00E52974">
              <w:rPr>
                <w:sz w:val="20"/>
                <w:szCs w:val="20"/>
              </w:rPr>
              <w:t xml:space="preserve"> occasions </w:t>
            </w:r>
            <w:r w:rsidRPr="00E52974">
              <w:rPr>
                <w:sz w:val="20"/>
                <w:szCs w:val="20"/>
              </w:rPr>
              <w:t xml:space="preserve">this year.  </w:t>
            </w:r>
            <w:r w:rsidR="00FA0A24" w:rsidRPr="00E52974">
              <w:rPr>
                <w:sz w:val="20"/>
                <w:szCs w:val="20"/>
              </w:rPr>
              <w:t>T</w:t>
            </w:r>
            <w:r w:rsidRPr="00E52974">
              <w:rPr>
                <w:sz w:val="20"/>
                <w:szCs w:val="20"/>
              </w:rPr>
              <w:t xml:space="preserve">his enables the authority to access personal financial data held by the banks on individuals on cases of suspected tenancy sub-let, RTB </w:t>
            </w:r>
            <w:r w:rsidRPr="00E52974">
              <w:rPr>
                <w:sz w:val="20"/>
                <w:szCs w:val="20"/>
              </w:rPr>
              <w:lastRenderedPageBreak/>
              <w:t>and housing applications where there is doubt over the accuracy of the subject’s account of events</w:t>
            </w:r>
            <w:r w:rsidR="00FA0A24" w:rsidRPr="00E52974">
              <w:rPr>
                <w:sz w:val="20"/>
                <w:szCs w:val="20"/>
              </w:rPr>
              <w:t>.</w:t>
            </w:r>
            <w:r w:rsidRPr="00E52974">
              <w:rPr>
                <w:sz w:val="20"/>
                <w:szCs w:val="20"/>
              </w:rPr>
              <w:t xml:space="preserve">     </w:t>
            </w:r>
          </w:p>
          <w:p w14:paraId="678904C4" w14:textId="77777777" w:rsidR="0074142F" w:rsidRPr="00E52974" w:rsidRDefault="0074142F" w:rsidP="00EF7582">
            <w:pPr>
              <w:rPr>
                <w:b/>
                <w:sz w:val="20"/>
                <w:szCs w:val="20"/>
              </w:rPr>
            </w:pPr>
          </w:p>
          <w:p w14:paraId="0E88BA9C" w14:textId="77777777" w:rsidR="009D080F" w:rsidRPr="00251BF6" w:rsidRDefault="009D080F" w:rsidP="00251BF6">
            <w:pPr>
              <w:rPr>
                <w:b/>
                <w:sz w:val="20"/>
                <w:szCs w:val="20"/>
              </w:rPr>
            </w:pPr>
            <w:r w:rsidRPr="00251BF6">
              <w:rPr>
                <w:b/>
                <w:sz w:val="20"/>
                <w:szCs w:val="20"/>
              </w:rPr>
              <w:t>Proactive Drive</w:t>
            </w:r>
          </w:p>
          <w:p w14:paraId="7D032E1C" w14:textId="5F9221C5" w:rsidR="00E72340" w:rsidRPr="00E52974" w:rsidRDefault="00E64FCA" w:rsidP="00E72340">
            <w:pPr>
              <w:rPr>
                <w:rFonts w:ascii="Calibri" w:hAnsi="Calibri" w:cs="Calibri"/>
                <w:sz w:val="20"/>
                <w:szCs w:val="20"/>
              </w:rPr>
            </w:pPr>
            <w:r w:rsidRPr="00E52974">
              <w:rPr>
                <w:sz w:val="20"/>
                <w:szCs w:val="20"/>
              </w:rPr>
              <w:t xml:space="preserve">A proactive drive to </w:t>
            </w:r>
            <w:r w:rsidR="003514D6" w:rsidRPr="00E52974">
              <w:rPr>
                <w:sz w:val="20"/>
                <w:szCs w:val="20"/>
              </w:rPr>
              <w:t xml:space="preserve">identify </w:t>
            </w:r>
            <w:r w:rsidRPr="00E52974">
              <w:rPr>
                <w:sz w:val="20"/>
                <w:szCs w:val="20"/>
              </w:rPr>
              <w:t xml:space="preserve">non occupation/subletting of Council social housing was undertaken.  </w:t>
            </w:r>
            <w:r w:rsidR="00E72340" w:rsidRPr="00E52974">
              <w:rPr>
                <w:sz w:val="20"/>
                <w:szCs w:val="20"/>
              </w:rPr>
              <w:t xml:space="preserve">The </w:t>
            </w:r>
            <w:r w:rsidRPr="00E52974">
              <w:rPr>
                <w:sz w:val="20"/>
                <w:szCs w:val="20"/>
              </w:rPr>
              <w:t xml:space="preserve">key </w:t>
            </w:r>
            <w:r w:rsidR="00E72340" w:rsidRPr="00E52974">
              <w:rPr>
                <w:sz w:val="20"/>
                <w:szCs w:val="20"/>
              </w:rPr>
              <w:t xml:space="preserve">fob </w:t>
            </w:r>
            <w:r w:rsidRPr="00E52974">
              <w:rPr>
                <w:sz w:val="20"/>
                <w:szCs w:val="20"/>
              </w:rPr>
              <w:t xml:space="preserve">entry </w:t>
            </w:r>
            <w:r w:rsidR="00E72340" w:rsidRPr="00E52974">
              <w:rPr>
                <w:sz w:val="20"/>
                <w:szCs w:val="20"/>
              </w:rPr>
              <w:t xml:space="preserve">use </w:t>
            </w:r>
            <w:r w:rsidRPr="00E52974">
              <w:rPr>
                <w:sz w:val="20"/>
                <w:szCs w:val="20"/>
              </w:rPr>
              <w:t xml:space="preserve">system and </w:t>
            </w:r>
            <w:r w:rsidR="003514D6" w:rsidRPr="00E52974">
              <w:rPr>
                <w:sz w:val="20"/>
                <w:szCs w:val="20"/>
              </w:rPr>
              <w:t xml:space="preserve">tenant access </w:t>
            </w:r>
            <w:r w:rsidRPr="00E52974">
              <w:rPr>
                <w:sz w:val="20"/>
                <w:szCs w:val="20"/>
              </w:rPr>
              <w:t xml:space="preserve">activity </w:t>
            </w:r>
            <w:r w:rsidR="00E72340" w:rsidRPr="00E52974">
              <w:rPr>
                <w:sz w:val="20"/>
                <w:szCs w:val="20"/>
              </w:rPr>
              <w:t xml:space="preserve">across </w:t>
            </w:r>
            <w:r w:rsidR="009C5C54" w:rsidRPr="00E52974">
              <w:rPr>
                <w:sz w:val="20"/>
                <w:szCs w:val="20"/>
              </w:rPr>
              <w:t xml:space="preserve">a number of </w:t>
            </w:r>
            <w:r w:rsidR="00E72340" w:rsidRPr="00E52974">
              <w:rPr>
                <w:sz w:val="20"/>
                <w:szCs w:val="20"/>
              </w:rPr>
              <w:t xml:space="preserve">Council estates/blocks </w:t>
            </w:r>
            <w:r w:rsidRPr="00E52974">
              <w:rPr>
                <w:sz w:val="20"/>
                <w:szCs w:val="20"/>
              </w:rPr>
              <w:t xml:space="preserve">was analysed </w:t>
            </w:r>
            <w:r w:rsidR="00E72340" w:rsidRPr="00E52974">
              <w:rPr>
                <w:sz w:val="20"/>
                <w:szCs w:val="20"/>
              </w:rPr>
              <w:t xml:space="preserve">as intelligence from previous cases suggested these were </w:t>
            </w:r>
            <w:r w:rsidRPr="00E52974">
              <w:rPr>
                <w:sz w:val="20"/>
                <w:szCs w:val="20"/>
              </w:rPr>
              <w:t xml:space="preserve">high risk </w:t>
            </w:r>
            <w:r w:rsidR="00E72340" w:rsidRPr="00E52974">
              <w:rPr>
                <w:sz w:val="20"/>
                <w:szCs w:val="20"/>
              </w:rPr>
              <w:t xml:space="preserve">areas </w:t>
            </w:r>
            <w:r w:rsidRPr="00E52974">
              <w:rPr>
                <w:sz w:val="20"/>
                <w:szCs w:val="20"/>
              </w:rPr>
              <w:t xml:space="preserve">in the borough </w:t>
            </w:r>
            <w:r w:rsidR="00E72340" w:rsidRPr="00E52974">
              <w:rPr>
                <w:sz w:val="20"/>
                <w:szCs w:val="20"/>
              </w:rPr>
              <w:t>for consideration.</w:t>
            </w:r>
          </w:p>
          <w:p w14:paraId="7E0CF077" w14:textId="77777777" w:rsidR="00E72340" w:rsidRPr="00E52974" w:rsidRDefault="00E72340" w:rsidP="00E72340">
            <w:pPr>
              <w:rPr>
                <w:rFonts w:eastAsiaTheme="minorHAnsi"/>
                <w:sz w:val="20"/>
                <w:szCs w:val="20"/>
              </w:rPr>
            </w:pPr>
          </w:p>
          <w:p w14:paraId="5E99FDE0" w14:textId="011A4418" w:rsidR="00E52974" w:rsidRPr="001F45FF" w:rsidRDefault="00E64FCA" w:rsidP="00EF7582">
            <w:pPr>
              <w:rPr>
                <w:sz w:val="20"/>
                <w:szCs w:val="20"/>
              </w:rPr>
            </w:pPr>
            <w:r w:rsidRPr="00E52974">
              <w:rPr>
                <w:sz w:val="20"/>
                <w:szCs w:val="20"/>
              </w:rPr>
              <w:t xml:space="preserve">In all, </w:t>
            </w:r>
            <w:r w:rsidR="009C5C54" w:rsidRPr="00E52974">
              <w:rPr>
                <w:sz w:val="20"/>
                <w:szCs w:val="20"/>
              </w:rPr>
              <w:t>474</w:t>
            </w:r>
            <w:r w:rsidR="00E72340" w:rsidRPr="00E52974">
              <w:rPr>
                <w:sz w:val="20"/>
                <w:szCs w:val="20"/>
              </w:rPr>
              <w:t xml:space="preserve"> flats were identified </w:t>
            </w:r>
            <w:r w:rsidRPr="00E52974">
              <w:rPr>
                <w:sz w:val="20"/>
                <w:szCs w:val="20"/>
              </w:rPr>
              <w:t>for key fob activity analysis</w:t>
            </w:r>
            <w:r w:rsidR="00EB4182" w:rsidRPr="00E52974">
              <w:rPr>
                <w:sz w:val="20"/>
                <w:szCs w:val="20"/>
              </w:rPr>
              <w:t xml:space="preserve"> after initial review</w:t>
            </w:r>
            <w:r w:rsidR="3BEF2ADB" w:rsidRPr="4514BC5D">
              <w:rPr>
                <w:sz w:val="20"/>
                <w:szCs w:val="20"/>
              </w:rPr>
              <w:t>;</w:t>
            </w:r>
            <w:r w:rsidR="001F1C86" w:rsidRPr="00E52974">
              <w:rPr>
                <w:sz w:val="20"/>
                <w:szCs w:val="20"/>
              </w:rPr>
              <w:t xml:space="preserve"> </w:t>
            </w:r>
            <w:r w:rsidR="00E72340" w:rsidRPr="00E52974">
              <w:rPr>
                <w:sz w:val="20"/>
                <w:szCs w:val="20"/>
              </w:rPr>
              <w:t>11 cases were referred for full investigation</w:t>
            </w:r>
            <w:r w:rsidR="005A6C3C" w:rsidRPr="00E52974">
              <w:rPr>
                <w:sz w:val="20"/>
                <w:szCs w:val="20"/>
              </w:rPr>
              <w:t xml:space="preserve">, 5 cases were closed no fraud, </w:t>
            </w:r>
            <w:r w:rsidR="00437230" w:rsidRPr="00E52974">
              <w:rPr>
                <w:sz w:val="20"/>
                <w:szCs w:val="20"/>
              </w:rPr>
              <w:t xml:space="preserve">4 cases are still under investigation &amp; </w:t>
            </w:r>
            <w:r w:rsidR="005A6C3C" w:rsidRPr="00E52974">
              <w:rPr>
                <w:sz w:val="20"/>
                <w:szCs w:val="20"/>
              </w:rPr>
              <w:t>2 properties were recovered</w:t>
            </w:r>
            <w:r w:rsidR="00A11B6F" w:rsidRPr="00E52974">
              <w:rPr>
                <w:sz w:val="20"/>
                <w:szCs w:val="20"/>
              </w:rPr>
              <w:t xml:space="preserve"> (</w:t>
            </w:r>
            <w:r w:rsidR="28F7B71F" w:rsidRPr="4514BC5D">
              <w:rPr>
                <w:sz w:val="20"/>
                <w:szCs w:val="20"/>
              </w:rPr>
              <w:t>inc</w:t>
            </w:r>
            <w:r w:rsidR="706B9706" w:rsidRPr="4514BC5D">
              <w:rPr>
                <w:sz w:val="20"/>
                <w:szCs w:val="20"/>
              </w:rPr>
              <w:t>l</w:t>
            </w:r>
            <w:r w:rsidR="00FE5315">
              <w:rPr>
                <w:sz w:val="20"/>
                <w:szCs w:val="20"/>
              </w:rPr>
              <w:t>uded</w:t>
            </w:r>
            <w:r w:rsidR="00A11B6F" w:rsidRPr="00E52974">
              <w:rPr>
                <w:sz w:val="20"/>
                <w:szCs w:val="20"/>
              </w:rPr>
              <w:t xml:space="preserve"> in the </w:t>
            </w:r>
            <w:r w:rsidR="0066301F">
              <w:rPr>
                <w:sz w:val="20"/>
                <w:szCs w:val="20"/>
              </w:rPr>
              <w:t xml:space="preserve">tenancy </w:t>
            </w:r>
            <w:r w:rsidR="00E52974" w:rsidRPr="00E52974">
              <w:rPr>
                <w:sz w:val="20"/>
                <w:szCs w:val="20"/>
              </w:rPr>
              <w:t xml:space="preserve">recovery </w:t>
            </w:r>
            <w:r w:rsidR="00A11B6F" w:rsidRPr="00E52974">
              <w:rPr>
                <w:sz w:val="20"/>
                <w:szCs w:val="20"/>
              </w:rPr>
              <w:t>total above)</w:t>
            </w:r>
            <w:r w:rsidR="00437230" w:rsidRPr="00E52974">
              <w:rPr>
                <w:sz w:val="20"/>
                <w:szCs w:val="20"/>
              </w:rPr>
              <w:t>.</w:t>
            </w:r>
            <w:r w:rsidR="005A6C3C" w:rsidRPr="00E52974">
              <w:rPr>
                <w:sz w:val="20"/>
                <w:szCs w:val="20"/>
              </w:rPr>
              <w:t xml:space="preserve"> </w:t>
            </w:r>
          </w:p>
          <w:p w14:paraId="16781567" w14:textId="77777777" w:rsidR="007F02FB" w:rsidRDefault="007F02FB" w:rsidP="00EF7582">
            <w:pPr>
              <w:rPr>
                <w:b/>
                <w:sz w:val="20"/>
                <w:szCs w:val="20"/>
              </w:rPr>
            </w:pPr>
          </w:p>
          <w:p w14:paraId="166E5798" w14:textId="116D59AD" w:rsidR="0017605D" w:rsidRPr="005B6965" w:rsidRDefault="0017605D" w:rsidP="00D42642">
            <w:pPr>
              <w:rPr>
                <w:b/>
                <w:sz w:val="20"/>
                <w:szCs w:val="20"/>
              </w:rPr>
            </w:pPr>
            <w:r w:rsidRPr="00E52974">
              <w:rPr>
                <w:b/>
                <w:sz w:val="20"/>
                <w:szCs w:val="20"/>
              </w:rPr>
              <w:t xml:space="preserve">Overall fraud </w:t>
            </w:r>
            <w:r w:rsidR="00352746" w:rsidRPr="00E52974">
              <w:rPr>
                <w:b/>
                <w:sz w:val="20"/>
                <w:szCs w:val="20"/>
              </w:rPr>
              <w:t>loss prevented</w:t>
            </w:r>
            <w:r w:rsidRPr="00E52974">
              <w:rPr>
                <w:b/>
                <w:sz w:val="20"/>
                <w:szCs w:val="20"/>
              </w:rPr>
              <w:t xml:space="preserve"> attributed to t</w:t>
            </w:r>
            <w:r w:rsidR="006D01F3" w:rsidRPr="00E52974">
              <w:rPr>
                <w:b/>
                <w:sz w:val="20"/>
                <w:szCs w:val="20"/>
              </w:rPr>
              <w:t xml:space="preserve">he housing fraud </w:t>
            </w:r>
            <w:r w:rsidRPr="00E52974">
              <w:rPr>
                <w:b/>
                <w:sz w:val="20"/>
                <w:szCs w:val="20"/>
              </w:rPr>
              <w:t>work stream is £</w:t>
            </w:r>
            <w:r w:rsidR="00E52974" w:rsidRPr="00E52974">
              <w:rPr>
                <w:b/>
                <w:sz w:val="20"/>
                <w:szCs w:val="20"/>
              </w:rPr>
              <w:t>1,1</w:t>
            </w:r>
            <w:r w:rsidR="00553A3F">
              <w:rPr>
                <w:b/>
                <w:sz w:val="20"/>
                <w:szCs w:val="20"/>
              </w:rPr>
              <w:t>55</w:t>
            </w:r>
            <w:r w:rsidR="00E52974" w:rsidRPr="00E52974">
              <w:rPr>
                <w:b/>
                <w:sz w:val="20"/>
                <w:szCs w:val="20"/>
              </w:rPr>
              <w:t>,</w:t>
            </w:r>
            <w:r w:rsidR="003A0B59">
              <w:rPr>
                <w:b/>
                <w:sz w:val="20"/>
                <w:szCs w:val="20"/>
              </w:rPr>
              <w:t>3</w:t>
            </w:r>
            <w:r w:rsidR="00E52974" w:rsidRPr="00E52974">
              <w:rPr>
                <w:b/>
                <w:sz w:val="20"/>
                <w:szCs w:val="20"/>
              </w:rPr>
              <w:t>0</w:t>
            </w:r>
            <w:r w:rsidR="00553A3F">
              <w:rPr>
                <w:b/>
                <w:sz w:val="20"/>
                <w:szCs w:val="20"/>
              </w:rPr>
              <w:t>7</w:t>
            </w:r>
            <w:r w:rsidR="00D42642">
              <w:rPr>
                <w:b/>
                <w:sz w:val="20"/>
                <w:szCs w:val="20"/>
              </w:rPr>
              <w:t>.</w:t>
            </w:r>
            <w:r w:rsidR="00553A3F">
              <w:rPr>
                <w:b/>
                <w:sz w:val="20"/>
                <w:szCs w:val="20"/>
              </w:rPr>
              <w:t>14</w:t>
            </w:r>
          </w:p>
        </w:tc>
      </w:tr>
      <w:tr w:rsidR="0069329D" w:rsidRPr="00380629" w14:paraId="2EF56A8D" w14:textId="77777777" w:rsidTr="005B6965">
        <w:trPr>
          <w:trHeight w:val="251"/>
        </w:trPr>
        <w:tc>
          <w:tcPr>
            <w:tcW w:w="576" w:type="dxa"/>
            <w:tcBorders>
              <w:top w:val="single" w:sz="4" w:space="0" w:color="auto"/>
              <w:left w:val="single" w:sz="4" w:space="0" w:color="auto"/>
              <w:bottom w:val="single" w:sz="4" w:space="0" w:color="auto"/>
              <w:right w:val="single" w:sz="4" w:space="0" w:color="auto"/>
            </w:tcBorders>
            <w:shd w:val="clear" w:color="auto" w:fill="17365D"/>
          </w:tcPr>
          <w:p w14:paraId="5CDE639D" w14:textId="2B15F147" w:rsidR="0069329D" w:rsidRPr="0069329D" w:rsidRDefault="0069329D" w:rsidP="004E23DA">
            <w:pPr>
              <w:rPr>
                <w:sz w:val="20"/>
                <w:szCs w:val="20"/>
              </w:rPr>
            </w:pPr>
            <w:r>
              <w:lastRenderedPageBreak/>
              <w:br w:type="page"/>
            </w:r>
          </w:p>
        </w:tc>
        <w:tc>
          <w:tcPr>
            <w:tcW w:w="3961" w:type="dxa"/>
            <w:tcBorders>
              <w:top w:val="single" w:sz="4" w:space="0" w:color="auto"/>
              <w:left w:val="single" w:sz="4" w:space="0" w:color="auto"/>
              <w:bottom w:val="single" w:sz="4" w:space="0" w:color="auto"/>
              <w:right w:val="single" w:sz="4" w:space="0" w:color="auto"/>
            </w:tcBorders>
            <w:shd w:val="clear" w:color="auto" w:fill="002060"/>
            <w:noWrap/>
          </w:tcPr>
          <w:p w14:paraId="5AA0624A" w14:textId="77777777" w:rsidR="0069329D" w:rsidRPr="001E0720" w:rsidRDefault="0069329D" w:rsidP="003326D7">
            <w:pPr>
              <w:rPr>
                <w:b/>
                <w:sz w:val="20"/>
                <w:szCs w:val="20"/>
              </w:rPr>
            </w:pPr>
            <w:r w:rsidRPr="001E0720">
              <w:rPr>
                <w:b/>
                <w:sz w:val="20"/>
                <w:szCs w:val="20"/>
              </w:rPr>
              <w:t>Fraud work stream</w:t>
            </w:r>
          </w:p>
        </w:tc>
        <w:tc>
          <w:tcPr>
            <w:tcW w:w="6124" w:type="dxa"/>
            <w:tcBorders>
              <w:top w:val="single" w:sz="4" w:space="0" w:color="auto"/>
              <w:left w:val="nil"/>
              <w:bottom w:val="single" w:sz="4" w:space="0" w:color="auto"/>
              <w:right w:val="single" w:sz="4" w:space="0" w:color="auto"/>
            </w:tcBorders>
            <w:shd w:val="clear" w:color="auto" w:fill="002060"/>
          </w:tcPr>
          <w:p w14:paraId="55E78C12" w14:textId="77777777" w:rsidR="0069329D" w:rsidRPr="001E0720" w:rsidRDefault="003326D7" w:rsidP="004E23DA">
            <w:pPr>
              <w:rPr>
                <w:b/>
                <w:sz w:val="20"/>
                <w:szCs w:val="20"/>
              </w:rPr>
            </w:pPr>
            <w:r w:rsidRPr="001E0720">
              <w:rPr>
                <w:b/>
                <w:sz w:val="20"/>
                <w:szCs w:val="20"/>
                <w:lang w:val="en-US"/>
              </w:rPr>
              <w:t>Detail</w:t>
            </w:r>
          </w:p>
        </w:tc>
      </w:tr>
      <w:tr w:rsidR="006F0585" w:rsidRPr="005F0B23" w14:paraId="3FBD0DD4" w14:textId="77777777" w:rsidTr="005B6965">
        <w:trPr>
          <w:trHeight w:val="251"/>
        </w:trPr>
        <w:tc>
          <w:tcPr>
            <w:tcW w:w="576" w:type="dxa"/>
            <w:tcBorders>
              <w:top w:val="single" w:sz="4" w:space="0" w:color="auto"/>
              <w:left w:val="single" w:sz="4" w:space="0" w:color="auto"/>
              <w:bottom w:val="single" w:sz="4" w:space="0" w:color="auto"/>
              <w:right w:val="single" w:sz="4" w:space="0" w:color="auto"/>
            </w:tcBorders>
          </w:tcPr>
          <w:p w14:paraId="18057F2A" w14:textId="77777777" w:rsidR="006F0585" w:rsidRDefault="006F0585" w:rsidP="007816FE">
            <w:pPr>
              <w:rPr>
                <w:sz w:val="20"/>
                <w:szCs w:val="20"/>
              </w:rPr>
            </w:pPr>
            <w:r>
              <w:rPr>
                <w:sz w:val="20"/>
                <w:szCs w:val="20"/>
              </w:rPr>
              <w:t>10.</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117BE6D9" w14:textId="38284249" w:rsidR="006F0585" w:rsidRPr="00F87BCA" w:rsidRDefault="009F50AC" w:rsidP="00371CBA">
            <w:pPr>
              <w:pStyle w:val="Default"/>
              <w:rPr>
                <w:b/>
                <w:bCs/>
                <w:sz w:val="20"/>
                <w:szCs w:val="20"/>
              </w:rPr>
            </w:pPr>
            <w:r w:rsidRPr="00F87BCA">
              <w:rPr>
                <w:b/>
                <w:bCs/>
                <w:sz w:val="20"/>
                <w:szCs w:val="20"/>
              </w:rPr>
              <w:t xml:space="preserve">Social </w:t>
            </w:r>
            <w:r w:rsidR="662F7D4B" w:rsidRPr="4514BC5D">
              <w:rPr>
                <w:b/>
                <w:bCs/>
                <w:sz w:val="20"/>
                <w:szCs w:val="20"/>
              </w:rPr>
              <w:t>C</w:t>
            </w:r>
            <w:r w:rsidRPr="00F87BCA">
              <w:rPr>
                <w:b/>
                <w:bCs/>
                <w:sz w:val="20"/>
                <w:szCs w:val="20"/>
              </w:rPr>
              <w:t>are fraud</w:t>
            </w:r>
          </w:p>
          <w:p w14:paraId="7D2DDEE7" w14:textId="77777777" w:rsidR="009F50AC" w:rsidRDefault="009F50AC" w:rsidP="00371CBA">
            <w:pPr>
              <w:pStyle w:val="Default"/>
              <w:rPr>
                <w:sz w:val="20"/>
                <w:szCs w:val="20"/>
              </w:rPr>
            </w:pPr>
          </w:p>
          <w:p w14:paraId="31F22258" w14:textId="77777777" w:rsidR="00C94C90" w:rsidRPr="00502F8C" w:rsidRDefault="00C94C90" w:rsidP="00C94C90">
            <w:pPr>
              <w:rPr>
                <w:sz w:val="20"/>
                <w:szCs w:val="20"/>
              </w:rPr>
            </w:pPr>
            <w:r w:rsidRPr="00502F8C">
              <w:rPr>
                <w:sz w:val="20"/>
                <w:szCs w:val="20"/>
              </w:rPr>
              <w:t>Work in partnership with the People Directorate to undertake a sample check allegations of fraud and abuse of the social care system including but not limited to:-</w:t>
            </w:r>
          </w:p>
          <w:p w14:paraId="311C6B01" w14:textId="77777777" w:rsidR="00C94C90" w:rsidRPr="00502F8C" w:rsidRDefault="00C94C90" w:rsidP="00C94C90">
            <w:pPr>
              <w:rPr>
                <w:sz w:val="20"/>
                <w:szCs w:val="20"/>
              </w:rPr>
            </w:pPr>
          </w:p>
          <w:p w14:paraId="2A41C175" w14:textId="77777777" w:rsidR="00C94C90" w:rsidRPr="00502F8C" w:rsidRDefault="00C94C90" w:rsidP="00DE5F7A">
            <w:pPr>
              <w:pStyle w:val="ListParagraph"/>
              <w:numPr>
                <w:ilvl w:val="0"/>
                <w:numId w:val="15"/>
              </w:numPr>
              <w:ind w:left="481" w:hanging="283"/>
              <w:contextualSpacing/>
              <w:rPr>
                <w:sz w:val="20"/>
                <w:szCs w:val="20"/>
              </w:rPr>
            </w:pPr>
            <w:r w:rsidRPr="00502F8C">
              <w:rPr>
                <w:sz w:val="20"/>
                <w:szCs w:val="20"/>
              </w:rPr>
              <w:t xml:space="preserve">A proactive fraud </w:t>
            </w:r>
            <w:r>
              <w:rPr>
                <w:sz w:val="20"/>
                <w:szCs w:val="20"/>
              </w:rPr>
              <w:t>risk based exercise</w:t>
            </w:r>
            <w:r w:rsidRPr="00502F8C">
              <w:rPr>
                <w:sz w:val="20"/>
                <w:szCs w:val="20"/>
              </w:rPr>
              <w:t xml:space="preserve"> of personal budgets applications, assessment and monitoring of spend</w:t>
            </w:r>
          </w:p>
          <w:p w14:paraId="37A772E8" w14:textId="77777777" w:rsidR="00C94C90" w:rsidRPr="00502F8C" w:rsidRDefault="00C94C90" w:rsidP="00DE5F7A">
            <w:pPr>
              <w:pStyle w:val="ListParagraph"/>
              <w:ind w:left="481" w:hanging="283"/>
              <w:rPr>
                <w:sz w:val="20"/>
                <w:szCs w:val="20"/>
              </w:rPr>
            </w:pPr>
            <w:r w:rsidRPr="00502F8C">
              <w:rPr>
                <w:sz w:val="20"/>
                <w:szCs w:val="20"/>
              </w:rPr>
              <w:t xml:space="preserve"> </w:t>
            </w:r>
          </w:p>
          <w:p w14:paraId="2DEFFA1C" w14:textId="77777777" w:rsidR="00C94C90" w:rsidRPr="00502F8C" w:rsidRDefault="00C94C90" w:rsidP="00DE5F7A">
            <w:pPr>
              <w:pStyle w:val="ListParagraph"/>
              <w:numPr>
                <w:ilvl w:val="0"/>
                <w:numId w:val="15"/>
              </w:numPr>
              <w:ind w:left="481" w:hanging="283"/>
              <w:contextualSpacing/>
              <w:rPr>
                <w:sz w:val="20"/>
                <w:szCs w:val="20"/>
              </w:rPr>
            </w:pPr>
            <w:r w:rsidRPr="00502F8C">
              <w:rPr>
                <w:sz w:val="20"/>
                <w:szCs w:val="20"/>
              </w:rPr>
              <w:t xml:space="preserve">A proactive fraud risk based exercise in relation to those individuals being financially supported in long term residential care </w:t>
            </w:r>
          </w:p>
          <w:p w14:paraId="55B86717" w14:textId="5953C15C" w:rsidR="009F50AC" w:rsidRPr="007C6042" w:rsidRDefault="009F50AC" w:rsidP="00371CBA">
            <w:pPr>
              <w:pStyle w:val="Default"/>
              <w:rPr>
                <w:b/>
                <w:sz w:val="20"/>
                <w:szCs w:val="20"/>
              </w:rPr>
            </w:pPr>
          </w:p>
        </w:tc>
        <w:tc>
          <w:tcPr>
            <w:tcW w:w="6124" w:type="dxa"/>
            <w:tcBorders>
              <w:top w:val="single" w:sz="4" w:space="0" w:color="auto"/>
              <w:left w:val="nil"/>
              <w:bottom w:val="single" w:sz="4" w:space="0" w:color="auto"/>
              <w:right w:val="single" w:sz="4" w:space="0" w:color="auto"/>
            </w:tcBorders>
            <w:shd w:val="clear" w:color="auto" w:fill="auto"/>
          </w:tcPr>
          <w:p w14:paraId="1E57CE33" w14:textId="58CAAC2B" w:rsidR="00FA615B" w:rsidRDefault="00FA615B" w:rsidP="00E77593">
            <w:pPr>
              <w:pStyle w:val="Default"/>
              <w:rPr>
                <w:b/>
                <w:color w:val="auto"/>
                <w:sz w:val="20"/>
                <w:szCs w:val="20"/>
              </w:rPr>
            </w:pPr>
            <w:r w:rsidRPr="0009648F">
              <w:rPr>
                <w:b/>
                <w:color w:val="auto"/>
                <w:sz w:val="20"/>
                <w:szCs w:val="20"/>
              </w:rPr>
              <w:t xml:space="preserve">Objective </w:t>
            </w:r>
            <w:r w:rsidR="008555B9">
              <w:rPr>
                <w:b/>
                <w:color w:val="auto"/>
                <w:sz w:val="20"/>
                <w:szCs w:val="20"/>
              </w:rPr>
              <w:t>substantially</w:t>
            </w:r>
            <w:r w:rsidR="00937566">
              <w:rPr>
                <w:b/>
                <w:color w:val="auto"/>
                <w:sz w:val="20"/>
                <w:szCs w:val="20"/>
              </w:rPr>
              <w:t xml:space="preserve"> achieved</w:t>
            </w:r>
          </w:p>
          <w:p w14:paraId="1853B8F9" w14:textId="77777777" w:rsidR="00937566" w:rsidRDefault="00937566" w:rsidP="00E77593">
            <w:pPr>
              <w:pStyle w:val="Default"/>
              <w:rPr>
                <w:b/>
                <w:color w:val="auto"/>
                <w:sz w:val="20"/>
                <w:szCs w:val="20"/>
              </w:rPr>
            </w:pPr>
          </w:p>
          <w:p w14:paraId="17B39023" w14:textId="5B2FCE9C" w:rsidR="00E86958" w:rsidRPr="00AE27CE" w:rsidRDefault="00E86958" w:rsidP="00E77593">
            <w:pPr>
              <w:pStyle w:val="Default"/>
              <w:rPr>
                <w:bCs/>
                <w:color w:val="auto"/>
                <w:sz w:val="20"/>
                <w:szCs w:val="20"/>
              </w:rPr>
            </w:pPr>
            <w:r>
              <w:rPr>
                <w:bCs/>
                <w:color w:val="auto"/>
                <w:sz w:val="20"/>
                <w:szCs w:val="20"/>
              </w:rPr>
              <w:t xml:space="preserve">A sample of 20 </w:t>
            </w:r>
            <w:r w:rsidR="00D80762">
              <w:rPr>
                <w:bCs/>
                <w:color w:val="auto"/>
                <w:sz w:val="20"/>
                <w:szCs w:val="20"/>
              </w:rPr>
              <w:t xml:space="preserve">personal budget cases were fraud checked to ensure the financial assessment undertaken on the </w:t>
            </w:r>
            <w:r w:rsidR="006F1E6C">
              <w:rPr>
                <w:bCs/>
                <w:color w:val="auto"/>
                <w:sz w:val="20"/>
                <w:szCs w:val="20"/>
              </w:rPr>
              <w:t xml:space="preserve">subject </w:t>
            </w:r>
            <w:r w:rsidR="00D80762">
              <w:rPr>
                <w:bCs/>
                <w:color w:val="auto"/>
                <w:sz w:val="20"/>
                <w:szCs w:val="20"/>
              </w:rPr>
              <w:t>was c</w:t>
            </w:r>
            <w:r w:rsidR="006F1E6C">
              <w:rPr>
                <w:bCs/>
                <w:color w:val="auto"/>
                <w:sz w:val="20"/>
                <w:szCs w:val="20"/>
              </w:rPr>
              <w:t>onsistent with 3</w:t>
            </w:r>
            <w:r w:rsidR="006F1E6C" w:rsidRPr="006F1E6C">
              <w:rPr>
                <w:bCs/>
                <w:color w:val="auto"/>
                <w:sz w:val="20"/>
                <w:szCs w:val="20"/>
                <w:vertAlign w:val="superscript"/>
              </w:rPr>
              <w:t>rd</w:t>
            </w:r>
            <w:r w:rsidR="006F1E6C">
              <w:rPr>
                <w:bCs/>
                <w:color w:val="auto"/>
                <w:sz w:val="20"/>
                <w:szCs w:val="20"/>
              </w:rPr>
              <w:t xml:space="preserve"> party sources</w:t>
            </w:r>
            <w:r w:rsidR="007D7BDC">
              <w:rPr>
                <w:bCs/>
                <w:color w:val="auto"/>
                <w:sz w:val="20"/>
                <w:szCs w:val="20"/>
              </w:rPr>
              <w:t>.</w:t>
            </w:r>
            <w:r w:rsidR="00F22F6B">
              <w:rPr>
                <w:bCs/>
                <w:color w:val="auto"/>
                <w:sz w:val="20"/>
                <w:szCs w:val="20"/>
              </w:rPr>
              <w:t xml:space="preserve">  </w:t>
            </w:r>
            <w:r w:rsidR="007D7BDC">
              <w:rPr>
                <w:bCs/>
                <w:color w:val="auto"/>
                <w:sz w:val="20"/>
                <w:szCs w:val="20"/>
              </w:rPr>
              <w:t xml:space="preserve">Of the 20 cases, 7 cases were closed as being </w:t>
            </w:r>
            <w:r w:rsidR="003618EB">
              <w:rPr>
                <w:bCs/>
                <w:color w:val="auto"/>
                <w:sz w:val="20"/>
                <w:szCs w:val="20"/>
              </w:rPr>
              <w:t>compliant and 13 are still live under investigation</w:t>
            </w:r>
            <w:r w:rsidR="00F22F6B">
              <w:rPr>
                <w:bCs/>
                <w:color w:val="auto"/>
                <w:sz w:val="20"/>
                <w:szCs w:val="20"/>
              </w:rPr>
              <w:t xml:space="preserve">.  No fraud </w:t>
            </w:r>
            <w:r w:rsidR="00F02E1E">
              <w:rPr>
                <w:bCs/>
                <w:color w:val="auto"/>
                <w:sz w:val="20"/>
                <w:szCs w:val="20"/>
              </w:rPr>
              <w:t xml:space="preserve">losses / </w:t>
            </w:r>
            <w:r w:rsidR="00F22F6B">
              <w:rPr>
                <w:bCs/>
                <w:color w:val="auto"/>
                <w:sz w:val="20"/>
                <w:szCs w:val="20"/>
              </w:rPr>
              <w:t>prevention</w:t>
            </w:r>
            <w:r w:rsidR="00F02E1E">
              <w:rPr>
                <w:bCs/>
                <w:color w:val="auto"/>
                <w:sz w:val="20"/>
                <w:szCs w:val="20"/>
              </w:rPr>
              <w:t xml:space="preserve"> have been identified to date</w:t>
            </w:r>
            <w:r w:rsidR="00A37612">
              <w:rPr>
                <w:bCs/>
                <w:color w:val="auto"/>
                <w:sz w:val="20"/>
                <w:szCs w:val="20"/>
              </w:rPr>
              <w:t xml:space="preserve"> in the sample</w:t>
            </w:r>
            <w:r w:rsidR="00AC47C0">
              <w:rPr>
                <w:bCs/>
                <w:color w:val="auto"/>
                <w:sz w:val="20"/>
                <w:szCs w:val="20"/>
              </w:rPr>
              <w:t xml:space="preserve"> to date</w:t>
            </w:r>
            <w:r w:rsidR="00A37612">
              <w:rPr>
                <w:bCs/>
                <w:color w:val="auto"/>
                <w:sz w:val="20"/>
                <w:szCs w:val="20"/>
              </w:rPr>
              <w:t>.</w:t>
            </w:r>
            <w:r w:rsidR="00F22F6B">
              <w:rPr>
                <w:bCs/>
                <w:color w:val="auto"/>
                <w:sz w:val="20"/>
                <w:szCs w:val="20"/>
              </w:rPr>
              <w:t xml:space="preserve"> </w:t>
            </w:r>
          </w:p>
          <w:p w14:paraId="3866F965" w14:textId="77777777" w:rsidR="00610F4F" w:rsidRPr="0009648F" w:rsidRDefault="00610F4F" w:rsidP="00A848A3">
            <w:pPr>
              <w:rPr>
                <w:sz w:val="20"/>
                <w:szCs w:val="20"/>
                <w:lang w:val="en-US"/>
              </w:rPr>
            </w:pPr>
          </w:p>
          <w:p w14:paraId="0CB6CED4" w14:textId="3BF73321" w:rsidR="00917B29" w:rsidRPr="00FA758D" w:rsidRDefault="003618EB" w:rsidP="00A848A3">
            <w:pPr>
              <w:rPr>
                <w:sz w:val="20"/>
                <w:szCs w:val="20"/>
                <w:lang w:val="en-US"/>
              </w:rPr>
            </w:pPr>
            <w:r w:rsidRPr="00FA758D">
              <w:rPr>
                <w:sz w:val="20"/>
                <w:szCs w:val="20"/>
                <w:lang w:val="en-US"/>
              </w:rPr>
              <w:t xml:space="preserve">No proactive drive was undertaken </w:t>
            </w:r>
            <w:r w:rsidR="00EB0506" w:rsidRPr="00FA758D">
              <w:rPr>
                <w:sz w:val="20"/>
                <w:szCs w:val="20"/>
                <w:lang w:val="en-US"/>
              </w:rPr>
              <w:t xml:space="preserve">on individuals in </w:t>
            </w:r>
            <w:r w:rsidR="00F22F6B" w:rsidRPr="00FA758D">
              <w:rPr>
                <w:sz w:val="20"/>
                <w:szCs w:val="20"/>
                <w:lang w:val="en-US"/>
              </w:rPr>
              <w:t>l</w:t>
            </w:r>
            <w:r w:rsidR="00EB0506" w:rsidRPr="00FA758D">
              <w:rPr>
                <w:sz w:val="20"/>
                <w:szCs w:val="20"/>
                <w:lang w:val="en-US"/>
              </w:rPr>
              <w:t xml:space="preserve">ong term residential care due to </w:t>
            </w:r>
            <w:r w:rsidR="00A37612">
              <w:rPr>
                <w:sz w:val="20"/>
                <w:szCs w:val="20"/>
                <w:lang w:val="en-US"/>
              </w:rPr>
              <w:t xml:space="preserve">high </w:t>
            </w:r>
            <w:r w:rsidR="00EB0506" w:rsidRPr="00FA758D">
              <w:rPr>
                <w:sz w:val="20"/>
                <w:szCs w:val="20"/>
                <w:lang w:val="en-US"/>
              </w:rPr>
              <w:t>workload.</w:t>
            </w:r>
          </w:p>
          <w:p w14:paraId="289E5536" w14:textId="77777777" w:rsidR="00A848A3" w:rsidRPr="00FA758D" w:rsidRDefault="00A848A3" w:rsidP="00A848A3">
            <w:pPr>
              <w:rPr>
                <w:sz w:val="20"/>
                <w:szCs w:val="20"/>
                <w:lang w:val="en-US"/>
              </w:rPr>
            </w:pPr>
          </w:p>
          <w:p w14:paraId="7730019A" w14:textId="6929821E" w:rsidR="00FA357C" w:rsidRPr="00FA758D" w:rsidRDefault="00F02E1E" w:rsidP="00A848A3">
            <w:pPr>
              <w:rPr>
                <w:sz w:val="20"/>
                <w:szCs w:val="20"/>
                <w:lang w:val="en-US"/>
              </w:rPr>
            </w:pPr>
            <w:r w:rsidRPr="00FA758D">
              <w:rPr>
                <w:sz w:val="20"/>
                <w:szCs w:val="20"/>
                <w:lang w:val="en-US"/>
              </w:rPr>
              <w:t xml:space="preserve">In addition to the proactive </w:t>
            </w:r>
            <w:r w:rsidR="00310527" w:rsidRPr="00FA758D">
              <w:rPr>
                <w:sz w:val="20"/>
                <w:szCs w:val="20"/>
                <w:lang w:val="en-US"/>
              </w:rPr>
              <w:t xml:space="preserve">personal budget </w:t>
            </w:r>
            <w:r w:rsidR="00742E98" w:rsidRPr="00FA758D">
              <w:rPr>
                <w:sz w:val="20"/>
                <w:szCs w:val="20"/>
                <w:lang w:val="en-US"/>
              </w:rPr>
              <w:t>sampling</w:t>
            </w:r>
            <w:r w:rsidR="000F6561" w:rsidRPr="00FA758D">
              <w:rPr>
                <w:sz w:val="20"/>
                <w:szCs w:val="20"/>
                <w:lang w:val="en-US"/>
              </w:rPr>
              <w:t xml:space="preserve"> undertak</w:t>
            </w:r>
            <w:r w:rsidR="00E40BE6" w:rsidRPr="00FA758D">
              <w:rPr>
                <w:sz w:val="20"/>
                <w:szCs w:val="20"/>
                <w:lang w:val="en-US"/>
              </w:rPr>
              <w:t>en,</w:t>
            </w:r>
            <w:r w:rsidR="00B82AAE" w:rsidRPr="00FA758D">
              <w:rPr>
                <w:sz w:val="20"/>
                <w:szCs w:val="20"/>
                <w:lang w:val="en-US"/>
              </w:rPr>
              <w:t xml:space="preserve"> a number of other historical personal budget </w:t>
            </w:r>
            <w:r w:rsidR="00E42D5A">
              <w:rPr>
                <w:sz w:val="20"/>
                <w:szCs w:val="20"/>
                <w:lang w:val="en-US"/>
              </w:rPr>
              <w:t>investigations</w:t>
            </w:r>
            <w:r w:rsidR="00E40BE6" w:rsidRPr="00FA758D">
              <w:rPr>
                <w:sz w:val="20"/>
                <w:szCs w:val="20"/>
                <w:lang w:val="en-US"/>
              </w:rPr>
              <w:t xml:space="preserve"> resulted in four individuals having their financial </w:t>
            </w:r>
            <w:r w:rsidR="00FA357C" w:rsidRPr="00FA758D">
              <w:rPr>
                <w:sz w:val="20"/>
                <w:szCs w:val="20"/>
                <w:lang w:val="en-US"/>
              </w:rPr>
              <w:t>circumstances being reassessed based on the investigation findings.  This resulted in the following</w:t>
            </w:r>
            <w:r w:rsidR="00FA758D">
              <w:rPr>
                <w:sz w:val="20"/>
                <w:szCs w:val="20"/>
                <w:lang w:val="en-US"/>
              </w:rPr>
              <w:t xml:space="preserve"> outcomes</w:t>
            </w:r>
            <w:r w:rsidR="00FA357C" w:rsidRPr="00FA758D">
              <w:rPr>
                <w:sz w:val="20"/>
                <w:szCs w:val="20"/>
                <w:lang w:val="en-US"/>
              </w:rPr>
              <w:t>:-</w:t>
            </w:r>
          </w:p>
          <w:p w14:paraId="663DC89B" w14:textId="77777777" w:rsidR="00FA357C" w:rsidRDefault="00FA357C" w:rsidP="00A848A3">
            <w:pPr>
              <w:rPr>
                <w:color w:val="FF0000"/>
                <w:sz w:val="20"/>
                <w:szCs w:val="20"/>
                <w:lang w:val="en-US"/>
              </w:rPr>
            </w:pPr>
          </w:p>
          <w:p w14:paraId="0134ADD0" w14:textId="77777777" w:rsidR="00C44575" w:rsidRDefault="00C44575" w:rsidP="00A848A3">
            <w:pPr>
              <w:rPr>
                <w:color w:val="FF0000"/>
                <w:sz w:val="20"/>
                <w:szCs w:val="20"/>
                <w:lang w:val="en-US"/>
              </w:rPr>
            </w:pPr>
          </w:p>
          <w:p w14:paraId="6C64C548" w14:textId="121D1B19" w:rsidR="0087159B" w:rsidRPr="000D3363" w:rsidRDefault="00FA357C" w:rsidP="00A848A3">
            <w:pPr>
              <w:rPr>
                <w:sz w:val="20"/>
                <w:szCs w:val="20"/>
              </w:rPr>
            </w:pPr>
            <w:r w:rsidRPr="002337EB">
              <w:rPr>
                <w:b/>
                <w:bCs/>
                <w:sz w:val="20"/>
                <w:szCs w:val="20"/>
                <w:lang w:val="en-US"/>
              </w:rPr>
              <w:t>Case A</w:t>
            </w:r>
            <w:r w:rsidRPr="000D3363">
              <w:rPr>
                <w:sz w:val="20"/>
                <w:szCs w:val="20"/>
                <w:lang w:val="en-US"/>
              </w:rPr>
              <w:t xml:space="preserve"> </w:t>
            </w:r>
            <w:r w:rsidR="00CB0747" w:rsidRPr="000D3363">
              <w:rPr>
                <w:sz w:val="20"/>
                <w:szCs w:val="20"/>
                <w:lang w:val="en-US"/>
              </w:rPr>
              <w:t xml:space="preserve">– </w:t>
            </w:r>
            <w:r w:rsidR="0098444D" w:rsidRPr="000D3363">
              <w:rPr>
                <w:sz w:val="20"/>
                <w:szCs w:val="20"/>
              </w:rPr>
              <w:t xml:space="preserve">Deprivation of capital by </w:t>
            </w:r>
            <w:r w:rsidR="00527C21">
              <w:rPr>
                <w:sz w:val="20"/>
                <w:szCs w:val="20"/>
              </w:rPr>
              <w:t xml:space="preserve">the </w:t>
            </w:r>
            <w:r w:rsidR="0098444D" w:rsidRPr="000D3363">
              <w:rPr>
                <w:sz w:val="20"/>
                <w:szCs w:val="20"/>
              </w:rPr>
              <w:t>client and family moving savings out of client</w:t>
            </w:r>
            <w:r w:rsidR="00B65626" w:rsidRPr="000D3363">
              <w:rPr>
                <w:sz w:val="20"/>
                <w:szCs w:val="20"/>
              </w:rPr>
              <w:t>’</w:t>
            </w:r>
            <w:r w:rsidR="0098444D" w:rsidRPr="000D3363">
              <w:rPr>
                <w:sz w:val="20"/>
                <w:szCs w:val="20"/>
              </w:rPr>
              <w:t xml:space="preserve">s name in advance of a known care need and </w:t>
            </w:r>
            <w:r w:rsidR="00527C21">
              <w:rPr>
                <w:sz w:val="20"/>
                <w:szCs w:val="20"/>
              </w:rPr>
              <w:t>f</w:t>
            </w:r>
            <w:r w:rsidR="0098444D" w:rsidRPr="000D3363">
              <w:rPr>
                <w:sz w:val="20"/>
                <w:szCs w:val="20"/>
              </w:rPr>
              <w:t xml:space="preserve">inancial </w:t>
            </w:r>
            <w:r w:rsidR="00527C21">
              <w:rPr>
                <w:sz w:val="20"/>
                <w:szCs w:val="20"/>
              </w:rPr>
              <w:t>a</w:t>
            </w:r>
            <w:r w:rsidR="0098444D" w:rsidRPr="000D3363">
              <w:rPr>
                <w:sz w:val="20"/>
                <w:szCs w:val="20"/>
              </w:rPr>
              <w:t>ssessment.</w:t>
            </w:r>
            <w:r w:rsidR="00B65626" w:rsidRPr="000D3363">
              <w:rPr>
                <w:sz w:val="20"/>
                <w:szCs w:val="20"/>
              </w:rPr>
              <w:t xml:space="preserve">  </w:t>
            </w:r>
            <w:r w:rsidR="009657C0">
              <w:rPr>
                <w:sz w:val="20"/>
                <w:szCs w:val="20"/>
              </w:rPr>
              <w:t>Fraudulent o</w:t>
            </w:r>
            <w:r w:rsidR="00B65626" w:rsidRPr="000D3363">
              <w:rPr>
                <w:sz w:val="20"/>
                <w:szCs w:val="20"/>
              </w:rPr>
              <w:t>verpayment amount</w:t>
            </w:r>
            <w:r w:rsidR="007D51BB">
              <w:rPr>
                <w:sz w:val="20"/>
                <w:szCs w:val="20"/>
              </w:rPr>
              <w:t>ing to</w:t>
            </w:r>
            <w:r w:rsidR="00B65626" w:rsidRPr="000D3363">
              <w:rPr>
                <w:sz w:val="20"/>
                <w:szCs w:val="20"/>
              </w:rPr>
              <w:t xml:space="preserve"> £76,249</w:t>
            </w:r>
            <w:r w:rsidR="00EF1FC0">
              <w:rPr>
                <w:sz w:val="20"/>
                <w:szCs w:val="20"/>
              </w:rPr>
              <w:t xml:space="preserve"> resulted</w:t>
            </w:r>
            <w:r w:rsidR="00793862" w:rsidRPr="000D3363">
              <w:rPr>
                <w:sz w:val="20"/>
                <w:szCs w:val="20"/>
              </w:rPr>
              <w:t>.</w:t>
            </w:r>
            <w:r w:rsidR="00527C21">
              <w:rPr>
                <w:sz w:val="20"/>
                <w:szCs w:val="20"/>
              </w:rPr>
              <w:t xml:space="preserve"> </w:t>
            </w:r>
            <w:r w:rsidR="00317552">
              <w:rPr>
                <w:sz w:val="20"/>
                <w:szCs w:val="20"/>
              </w:rPr>
              <w:t xml:space="preserve"> </w:t>
            </w:r>
            <w:r w:rsidR="00251442">
              <w:rPr>
                <w:sz w:val="20"/>
                <w:szCs w:val="20"/>
              </w:rPr>
              <w:t>Not in the public interest to pursue</w:t>
            </w:r>
            <w:r w:rsidR="00020481">
              <w:rPr>
                <w:sz w:val="20"/>
                <w:szCs w:val="20"/>
              </w:rPr>
              <w:t xml:space="preserve"> criminally but arrangements in place to recover the funds</w:t>
            </w:r>
            <w:r w:rsidR="00DB62F2">
              <w:rPr>
                <w:sz w:val="20"/>
                <w:szCs w:val="20"/>
              </w:rPr>
              <w:t xml:space="preserve"> by the service</w:t>
            </w:r>
            <w:r w:rsidR="00020481">
              <w:rPr>
                <w:sz w:val="20"/>
                <w:szCs w:val="20"/>
              </w:rPr>
              <w:t>.</w:t>
            </w:r>
            <w:r w:rsidR="00251442">
              <w:rPr>
                <w:sz w:val="20"/>
                <w:szCs w:val="20"/>
              </w:rPr>
              <w:t xml:space="preserve"> </w:t>
            </w:r>
          </w:p>
          <w:p w14:paraId="6E1BE64B" w14:textId="2E5ACC85" w:rsidR="00FA357C" w:rsidRPr="000D3363" w:rsidRDefault="00FA357C" w:rsidP="00A848A3">
            <w:pPr>
              <w:rPr>
                <w:sz w:val="20"/>
                <w:szCs w:val="20"/>
                <w:lang w:val="en-US"/>
              </w:rPr>
            </w:pPr>
            <w:r w:rsidRPr="000D3363">
              <w:rPr>
                <w:sz w:val="20"/>
                <w:szCs w:val="20"/>
                <w:lang w:val="en-US"/>
              </w:rPr>
              <w:t xml:space="preserve"> </w:t>
            </w:r>
          </w:p>
          <w:p w14:paraId="6828FC60" w14:textId="4958CE30" w:rsidR="000333BC" w:rsidRPr="000D3363" w:rsidRDefault="00CB0747" w:rsidP="000333BC">
            <w:pPr>
              <w:rPr>
                <w:sz w:val="20"/>
                <w:szCs w:val="20"/>
                <w:lang w:val="en-US"/>
              </w:rPr>
            </w:pPr>
            <w:r w:rsidRPr="002337EB">
              <w:rPr>
                <w:b/>
                <w:bCs/>
                <w:sz w:val="20"/>
                <w:szCs w:val="20"/>
                <w:lang w:val="en-US"/>
              </w:rPr>
              <w:t>Case B</w:t>
            </w:r>
            <w:r w:rsidRPr="000D3363">
              <w:rPr>
                <w:sz w:val="20"/>
                <w:szCs w:val="20"/>
                <w:lang w:val="en-US"/>
              </w:rPr>
              <w:t xml:space="preserve"> </w:t>
            </w:r>
            <w:r w:rsidR="00793862" w:rsidRPr="000D3363">
              <w:rPr>
                <w:sz w:val="20"/>
                <w:szCs w:val="20"/>
                <w:lang w:val="en-US"/>
              </w:rPr>
              <w:t>–</w:t>
            </w:r>
            <w:r w:rsidRPr="000D3363">
              <w:rPr>
                <w:sz w:val="20"/>
                <w:szCs w:val="20"/>
                <w:lang w:val="en-US"/>
              </w:rPr>
              <w:t xml:space="preserve"> </w:t>
            </w:r>
            <w:r w:rsidR="00793862" w:rsidRPr="000D3363">
              <w:rPr>
                <w:sz w:val="20"/>
                <w:szCs w:val="20"/>
                <w:lang w:val="en-US"/>
              </w:rPr>
              <w:t xml:space="preserve">The </w:t>
            </w:r>
            <w:r w:rsidR="00793862" w:rsidRPr="000D3363">
              <w:rPr>
                <w:sz w:val="20"/>
                <w:szCs w:val="20"/>
              </w:rPr>
              <w:t xml:space="preserve">personal budget </w:t>
            </w:r>
            <w:r w:rsidR="00DA0C01" w:rsidRPr="000D3363">
              <w:rPr>
                <w:sz w:val="20"/>
                <w:szCs w:val="20"/>
              </w:rPr>
              <w:t xml:space="preserve">agreed </w:t>
            </w:r>
            <w:r w:rsidR="00793862" w:rsidRPr="000D3363">
              <w:rPr>
                <w:sz w:val="20"/>
                <w:szCs w:val="20"/>
              </w:rPr>
              <w:t>was for respite care</w:t>
            </w:r>
            <w:r w:rsidR="001B776D">
              <w:rPr>
                <w:sz w:val="20"/>
                <w:szCs w:val="20"/>
              </w:rPr>
              <w:t xml:space="preserve">.  No </w:t>
            </w:r>
            <w:r w:rsidR="00793862" w:rsidRPr="000D3363">
              <w:rPr>
                <w:sz w:val="20"/>
                <w:szCs w:val="20"/>
              </w:rPr>
              <w:t>such care was received</w:t>
            </w:r>
            <w:r w:rsidR="005D1A8B" w:rsidRPr="000D3363">
              <w:rPr>
                <w:sz w:val="20"/>
                <w:szCs w:val="20"/>
              </w:rPr>
              <w:t xml:space="preserve"> and the </w:t>
            </w:r>
            <w:r w:rsidR="00793862" w:rsidRPr="000D3363">
              <w:rPr>
                <w:sz w:val="20"/>
                <w:szCs w:val="20"/>
              </w:rPr>
              <w:t xml:space="preserve">provision of fraudulent invoices for care provided by </w:t>
            </w:r>
            <w:r w:rsidR="005D1A8B" w:rsidRPr="000D3363">
              <w:rPr>
                <w:sz w:val="20"/>
                <w:szCs w:val="20"/>
              </w:rPr>
              <w:t xml:space="preserve">personal budget </w:t>
            </w:r>
            <w:r w:rsidR="00793862" w:rsidRPr="000D3363">
              <w:rPr>
                <w:sz w:val="20"/>
                <w:szCs w:val="20"/>
              </w:rPr>
              <w:t>holder.</w:t>
            </w:r>
            <w:r w:rsidR="005D1A8B" w:rsidRPr="000D3363">
              <w:rPr>
                <w:sz w:val="20"/>
                <w:szCs w:val="20"/>
              </w:rPr>
              <w:t xml:space="preserve">  </w:t>
            </w:r>
            <w:r w:rsidR="00E06602">
              <w:rPr>
                <w:sz w:val="20"/>
                <w:szCs w:val="20"/>
              </w:rPr>
              <w:t xml:space="preserve">Loss prevention saving </w:t>
            </w:r>
            <w:r w:rsidR="005D1A8B" w:rsidRPr="000D3363">
              <w:rPr>
                <w:sz w:val="20"/>
                <w:szCs w:val="20"/>
              </w:rPr>
              <w:t>amount</w:t>
            </w:r>
            <w:r w:rsidR="00E06602">
              <w:rPr>
                <w:sz w:val="20"/>
                <w:szCs w:val="20"/>
              </w:rPr>
              <w:t>ing</w:t>
            </w:r>
            <w:r w:rsidR="005D1A8B" w:rsidRPr="000D3363">
              <w:rPr>
                <w:sz w:val="20"/>
                <w:szCs w:val="20"/>
              </w:rPr>
              <w:t xml:space="preserve"> </w:t>
            </w:r>
            <w:r w:rsidR="00E06602">
              <w:rPr>
                <w:sz w:val="20"/>
                <w:szCs w:val="20"/>
              </w:rPr>
              <w:t xml:space="preserve">to </w:t>
            </w:r>
            <w:r w:rsidR="005D1A8B" w:rsidRPr="000D3363">
              <w:rPr>
                <w:sz w:val="20"/>
                <w:szCs w:val="20"/>
              </w:rPr>
              <w:t>£</w:t>
            </w:r>
            <w:r w:rsidR="000333BC" w:rsidRPr="000D3363">
              <w:rPr>
                <w:color w:val="000000"/>
                <w:sz w:val="20"/>
                <w:szCs w:val="20"/>
              </w:rPr>
              <w:t>44,436.14</w:t>
            </w:r>
            <w:r w:rsidR="00E06602">
              <w:rPr>
                <w:color w:val="000000"/>
                <w:sz w:val="20"/>
                <w:szCs w:val="20"/>
              </w:rPr>
              <w:t xml:space="preserve"> ongoing as </w:t>
            </w:r>
            <w:r w:rsidR="00B124B1">
              <w:rPr>
                <w:color w:val="000000"/>
                <w:sz w:val="20"/>
                <w:szCs w:val="20"/>
              </w:rPr>
              <w:t xml:space="preserve">the </w:t>
            </w:r>
            <w:r w:rsidR="00E06602">
              <w:rPr>
                <w:color w:val="000000"/>
                <w:sz w:val="20"/>
                <w:szCs w:val="20"/>
              </w:rPr>
              <w:t xml:space="preserve">service </w:t>
            </w:r>
            <w:r w:rsidR="00B124B1">
              <w:rPr>
                <w:color w:val="000000"/>
                <w:sz w:val="20"/>
                <w:szCs w:val="20"/>
              </w:rPr>
              <w:t xml:space="preserve">was </w:t>
            </w:r>
            <w:r w:rsidR="00E06602">
              <w:rPr>
                <w:color w:val="000000"/>
                <w:sz w:val="20"/>
                <w:szCs w:val="20"/>
              </w:rPr>
              <w:t>removed</w:t>
            </w:r>
            <w:r w:rsidR="001D277C">
              <w:rPr>
                <w:color w:val="000000"/>
                <w:sz w:val="20"/>
                <w:szCs w:val="20"/>
              </w:rPr>
              <w:t>.</w:t>
            </w:r>
            <w:r w:rsidR="00020481">
              <w:rPr>
                <w:color w:val="000000"/>
                <w:sz w:val="20"/>
                <w:szCs w:val="20"/>
              </w:rPr>
              <w:t xml:space="preserve">  </w:t>
            </w:r>
            <w:r w:rsidR="00E462F7">
              <w:rPr>
                <w:color w:val="000000"/>
                <w:sz w:val="20"/>
                <w:szCs w:val="20"/>
              </w:rPr>
              <w:t xml:space="preserve">A historical fraudulent overpayment was </w:t>
            </w:r>
            <w:r w:rsidR="005B36D9">
              <w:rPr>
                <w:color w:val="000000"/>
                <w:sz w:val="20"/>
                <w:szCs w:val="20"/>
              </w:rPr>
              <w:t xml:space="preserve">claimed in a previous financial year.  </w:t>
            </w:r>
            <w:r w:rsidR="00020481">
              <w:rPr>
                <w:color w:val="000000"/>
                <w:sz w:val="20"/>
                <w:szCs w:val="20"/>
              </w:rPr>
              <w:t xml:space="preserve">Not in the public interest </w:t>
            </w:r>
            <w:r w:rsidR="00E83CFC">
              <w:rPr>
                <w:color w:val="000000"/>
                <w:sz w:val="20"/>
                <w:szCs w:val="20"/>
              </w:rPr>
              <w:t>to pursue criminally</w:t>
            </w:r>
            <w:r w:rsidR="00B124B1">
              <w:rPr>
                <w:color w:val="000000"/>
                <w:sz w:val="20"/>
                <w:szCs w:val="20"/>
              </w:rPr>
              <w:t>.</w:t>
            </w:r>
          </w:p>
          <w:p w14:paraId="10B69153" w14:textId="78DEFCBA" w:rsidR="00CB0747" w:rsidRPr="0087159B" w:rsidRDefault="00CB0747" w:rsidP="00A848A3">
            <w:pPr>
              <w:rPr>
                <w:sz w:val="20"/>
                <w:szCs w:val="20"/>
                <w:lang w:val="en-US"/>
              </w:rPr>
            </w:pPr>
          </w:p>
          <w:p w14:paraId="7FFA0DF6" w14:textId="6D356663" w:rsidR="00823ACA" w:rsidRPr="00E81B25" w:rsidRDefault="00CB0747" w:rsidP="00823ACA">
            <w:pPr>
              <w:rPr>
                <w:sz w:val="20"/>
                <w:szCs w:val="20"/>
              </w:rPr>
            </w:pPr>
            <w:r w:rsidRPr="002337EB">
              <w:rPr>
                <w:b/>
                <w:bCs/>
                <w:sz w:val="20"/>
                <w:szCs w:val="20"/>
                <w:lang w:val="en-US"/>
              </w:rPr>
              <w:t>Case C</w:t>
            </w:r>
            <w:r w:rsidRPr="001B776D">
              <w:rPr>
                <w:sz w:val="20"/>
                <w:szCs w:val="20"/>
                <w:lang w:val="en-US"/>
              </w:rPr>
              <w:t xml:space="preserve"> </w:t>
            </w:r>
            <w:r w:rsidR="00A16600" w:rsidRPr="001B776D">
              <w:rPr>
                <w:sz w:val="20"/>
                <w:szCs w:val="20"/>
                <w:lang w:val="en-US"/>
              </w:rPr>
              <w:t>–</w:t>
            </w:r>
            <w:r w:rsidRPr="001B776D">
              <w:rPr>
                <w:sz w:val="20"/>
                <w:szCs w:val="20"/>
                <w:lang w:val="en-US"/>
              </w:rPr>
              <w:t xml:space="preserve"> </w:t>
            </w:r>
            <w:r w:rsidR="00A16600" w:rsidRPr="001B776D">
              <w:rPr>
                <w:sz w:val="20"/>
                <w:szCs w:val="20"/>
              </w:rPr>
              <w:t xml:space="preserve">The personal budget </w:t>
            </w:r>
            <w:r w:rsidR="00DA0C01" w:rsidRPr="001B776D">
              <w:rPr>
                <w:sz w:val="20"/>
                <w:szCs w:val="20"/>
              </w:rPr>
              <w:t xml:space="preserve">agreed </w:t>
            </w:r>
            <w:r w:rsidR="00A16600" w:rsidRPr="001B776D">
              <w:rPr>
                <w:sz w:val="20"/>
                <w:szCs w:val="20"/>
              </w:rPr>
              <w:t>was for respite care</w:t>
            </w:r>
            <w:r w:rsidR="004F7F9A" w:rsidRPr="001B776D">
              <w:rPr>
                <w:sz w:val="20"/>
                <w:szCs w:val="20"/>
              </w:rPr>
              <w:t>.  N</w:t>
            </w:r>
            <w:r w:rsidR="00A16600" w:rsidRPr="001B776D">
              <w:rPr>
                <w:sz w:val="20"/>
                <w:szCs w:val="20"/>
              </w:rPr>
              <w:t xml:space="preserve">o such care </w:t>
            </w:r>
            <w:r w:rsidR="004F7F9A" w:rsidRPr="001B776D">
              <w:rPr>
                <w:sz w:val="20"/>
                <w:szCs w:val="20"/>
              </w:rPr>
              <w:t xml:space="preserve">was </w:t>
            </w:r>
            <w:r w:rsidR="00A16600" w:rsidRPr="001B776D">
              <w:rPr>
                <w:sz w:val="20"/>
                <w:szCs w:val="20"/>
              </w:rPr>
              <w:t>received</w:t>
            </w:r>
            <w:r w:rsidR="004F7F9A" w:rsidRPr="001B776D">
              <w:rPr>
                <w:sz w:val="20"/>
                <w:szCs w:val="20"/>
              </w:rPr>
              <w:t xml:space="preserve"> and </w:t>
            </w:r>
            <w:r w:rsidR="005A72E6">
              <w:rPr>
                <w:sz w:val="20"/>
                <w:szCs w:val="20"/>
              </w:rPr>
              <w:t xml:space="preserve">multiple </w:t>
            </w:r>
            <w:r w:rsidR="00A16600" w:rsidRPr="001B776D">
              <w:rPr>
                <w:sz w:val="20"/>
                <w:szCs w:val="20"/>
              </w:rPr>
              <w:t xml:space="preserve">carers ‘wages’ </w:t>
            </w:r>
            <w:r w:rsidR="000048E9">
              <w:rPr>
                <w:sz w:val="20"/>
                <w:szCs w:val="20"/>
              </w:rPr>
              <w:t xml:space="preserve">were </w:t>
            </w:r>
            <w:r w:rsidR="004F7F9A" w:rsidRPr="001B776D">
              <w:rPr>
                <w:sz w:val="20"/>
                <w:szCs w:val="20"/>
              </w:rPr>
              <w:t>recycled</w:t>
            </w:r>
            <w:r w:rsidR="00A16600" w:rsidRPr="001B776D">
              <w:rPr>
                <w:sz w:val="20"/>
                <w:szCs w:val="20"/>
              </w:rPr>
              <w:t xml:space="preserve"> back to</w:t>
            </w:r>
            <w:r w:rsidR="00F2034C">
              <w:rPr>
                <w:sz w:val="20"/>
                <w:szCs w:val="20"/>
              </w:rPr>
              <w:t xml:space="preserve"> the</w:t>
            </w:r>
            <w:r w:rsidR="00A16600" w:rsidRPr="001B776D">
              <w:rPr>
                <w:sz w:val="20"/>
                <w:szCs w:val="20"/>
              </w:rPr>
              <w:t xml:space="preserve"> </w:t>
            </w:r>
            <w:r w:rsidR="00DA0C01" w:rsidRPr="00E81B25">
              <w:rPr>
                <w:sz w:val="20"/>
                <w:szCs w:val="20"/>
              </w:rPr>
              <w:t>personal budget</w:t>
            </w:r>
            <w:r w:rsidR="00A16600" w:rsidRPr="00E81B25">
              <w:rPr>
                <w:sz w:val="20"/>
                <w:szCs w:val="20"/>
              </w:rPr>
              <w:t xml:space="preserve"> holder</w:t>
            </w:r>
            <w:r w:rsidR="00DA0C01" w:rsidRPr="00E81B25">
              <w:rPr>
                <w:sz w:val="20"/>
                <w:szCs w:val="20"/>
              </w:rPr>
              <w:t>.</w:t>
            </w:r>
            <w:r w:rsidR="000D3363" w:rsidRPr="00E81B25">
              <w:rPr>
                <w:sz w:val="20"/>
                <w:szCs w:val="20"/>
              </w:rPr>
              <w:t xml:space="preserve">  </w:t>
            </w:r>
            <w:r w:rsidR="009657C0" w:rsidRPr="00E81B25">
              <w:rPr>
                <w:sz w:val="20"/>
                <w:szCs w:val="20"/>
              </w:rPr>
              <w:t>Fraudulent o</w:t>
            </w:r>
            <w:r w:rsidR="000D3363" w:rsidRPr="00E81B25">
              <w:rPr>
                <w:sz w:val="20"/>
                <w:szCs w:val="20"/>
              </w:rPr>
              <w:t>verpayment amount</w:t>
            </w:r>
            <w:r w:rsidR="00FA0980">
              <w:rPr>
                <w:sz w:val="20"/>
                <w:szCs w:val="20"/>
              </w:rPr>
              <w:t>ing to</w:t>
            </w:r>
            <w:r w:rsidR="005A72E6" w:rsidRPr="00E81B25">
              <w:rPr>
                <w:sz w:val="20"/>
                <w:szCs w:val="20"/>
              </w:rPr>
              <w:t xml:space="preserve"> £</w:t>
            </w:r>
            <w:r w:rsidR="00823ACA" w:rsidRPr="00E81B25">
              <w:rPr>
                <w:color w:val="000000"/>
                <w:sz w:val="20"/>
                <w:szCs w:val="20"/>
              </w:rPr>
              <w:t>137,728.7</w:t>
            </w:r>
            <w:r w:rsidR="00F30E77">
              <w:rPr>
                <w:color w:val="000000"/>
                <w:sz w:val="20"/>
                <w:szCs w:val="20"/>
              </w:rPr>
              <w:t xml:space="preserve"> resulted</w:t>
            </w:r>
            <w:r w:rsidR="009657C0" w:rsidRPr="00E81B25">
              <w:rPr>
                <w:color w:val="000000"/>
                <w:sz w:val="20"/>
                <w:szCs w:val="20"/>
              </w:rPr>
              <w:t>.</w:t>
            </w:r>
            <w:r w:rsidR="006568B9" w:rsidRPr="00E81B25">
              <w:rPr>
                <w:color w:val="000000"/>
                <w:sz w:val="20"/>
                <w:szCs w:val="20"/>
              </w:rPr>
              <w:t xml:space="preserve">  </w:t>
            </w:r>
            <w:r w:rsidR="00196A84">
              <w:rPr>
                <w:color w:val="000000"/>
                <w:sz w:val="20"/>
                <w:szCs w:val="20"/>
              </w:rPr>
              <w:t>Investigation</w:t>
            </w:r>
            <w:r w:rsidR="006568B9" w:rsidRPr="00E81B25">
              <w:rPr>
                <w:color w:val="000000"/>
                <w:sz w:val="20"/>
                <w:szCs w:val="20"/>
              </w:rPr>
              <w:t xml:space="preserve"> is ongoing and no decision </w:t>
            </w:r>
            <w:r w:rsidR="00317552">
              <w:rPr>
                <w:color w:val="000000"/>
                <w:sz w:val="20"/>
                <w:szCs w:val="20"/>
              </w:rPr>
              <w:t xml:space="preserve">taken </w:t>
            </w:r>
            <w:r w:rsidR="006568B9" w:rsidRPr="00E81B25">
              <w:rPr>
                <w:color w:val="000000"/>
                <w:sz w:val="20"/>
                <w:szCs w:val="20"/>
              </w:rPr>
              <w:t>on criminal proceedings as yet.</w:t>
            </w:r>
          </w:p>
          <w:p w14:paraId="0BD4FE66" w14:textId="3FB972A9" w:rsidR="00DA0C01" w:rsidRPr="00527C21" w:rsidRDefault="000D3363" w:rsidP="00A848A3">
            <w:pPr>
              <w:rPr>
                <w:sz w:val="20"/>
                <w:szCs w:val="20"/>
              </w:rPr>
            </w:pPr>
            <w:r w:rsidRPr="001B776D">
              <w:rPr>
                <w:sz w:val="20"/>
                <w:szCs w:val="20"/>
              </w:rPr>
              <w:t xml:space="preserve"> </w:t>
            </w:r>
          </w:p>
          <w:p w14:paraId="6C0F2DE8" w14:textId="3C68F96D" w:rsidR="001D277C" w:rsidRPr="00421A09" w:rsidRDefault="00CB0747" w:rsidP="001D277C">
            <w:pPr>
              <w:rPr>
                <w:sz w:val="20"/>
                <w:szCs w:val="20"/>
              </w:rPr>
            </w:pPr>
            <w:r w:rsidRPr="002337EB">
              <w:rPr>
                <w:b/>
                <w:bCs/>
                <w:sz w:val="20"/>
                <w:szCs w:val="20"/>
                <w:lang w:val="en-US"/>
              </w:rPr>
              <w:t>Case D</w:t>
            </w:r>
            <w:r w:rsidRPr="007E2229">
              <w:rPr>
                <w:sz w:val="20"/>
                <w:szCs w:val="20"/>
                <w:lang w:val="en-US"/>
              </w:rPr>
              <w:t xml:space="preserve"> </w:t>
            </w:r>
            <w:r w:rsidR="001D277C" w:rsidRPr="007E2229">
              <w:rPr>
                <w:sz w:val="20"/>
                <w:szCs w:val="20"/>
                <w:lang w:val="en-US"/>
              </w:rPr>
              <w:t>–</w:t>
            </w:r>
            <w:r w:rsidRPr="007E2229">
              <w:rPr>
                <w:sz w:val="20"/>
                <w:szCs w:val="20"/>
                <w:lang w:val="en-US"/>
              </w:rPr>
              <w:t xml:space="preserve"> </w:t>
            </w:r>
            <w:r w:rsidR="001D277C" w:rsidRPr="007E2229">
              <w:rPr>
                <w:sz w:val="20"/>
                <w:szCs w:val="20"/>
              </w:rPr>
              <w:t xml:space="preserve">Personal budget </w:t>
            </w:r>
            <w:r w:rsidR="00F30E77">
              <w:rPr>
                <w:sz w:val="20"/>
                <w:szCs w:val="20"/>
              </w:rPr>
              <w:t xml:space="preserve">was </w:t>
            </w:r>
            <w:r w:rsidR="001D277C" w:rsidRPr="007E2229">
              <w:rPr>
                <w:sz w:val="20"/>
                <w:szCs w:val="20"/>
              </w:rPr>
              <w:t>agreed for home care.  Care was provided by resident family members</w:t>
            </w:r>
            <w:r w:rsidR="006568B9" w:rsidRPr="007E2229">
              <w:rPr>
                <w:sz w:val="20"/>
                <w:szCs w:val="20"/>
              </w:rPr>
              <w:t xml:space="preserve">.  </w:t>
            </w:r>
            <w:r w:rsidR="00693852" w:rsidRPr="007E2229">
              <w:rPr>
                <w:sz w:val="20"/>
                <w:szCs w:val="20"/>
              </w:rPr>
              <w:t>The n</w:t>
            </w:r>
            <w:r w:rsidR="001D277C" w:rsidRPr="007E2229">
              <w:rPr>
                <w:sz w:val="20"/>
                <w:szCs w:val="20"/>
              </w:rPr>
              <w:t xml:space="preserve">amed carer’s </w:t>
            </w:r>
            <w:r w:rsidR="00693852" w:rsidRPr="007E2229">
              <w:rPr>
                <w:sz w:val="20"/>
                <w:szCs w:val="20"/>
              </w:rPr>
              <w:t>‘</w:t>
            </w:r>
            <w:r w:rsidR="001D277C" w:rsidRPr="007E2229">
              <w:rPr>
                <w:sz w:val="20"/>
                <w:szCs w:val="20"/>
              </w:rPr>
              <w:t>wages</w:t>
            </w:r>
            <w:r w:rsidR="00693852" w:rsidRPr="007E2229">
              <w:rPr>
                <w:sz w:val="20"/>
                <w:szCs w:val="20"/>
              </w:rPr>
              <w:t>’</w:t>
            </w:r>
            <w:r w:rsidR="001D277C" w:rsidRPr="007E2229">
              <w:rPr>
                <w:sz w:val="20"/>
                <w:szCs w:val="20"/>
              </w:rPr>
              <w:t xml:space="preserve"> </w:t>
            </w:r>
            <w:r w:rsidR="0008434A">
              <w:rPr>
                <w:sz w:val="20"/>
                <w:szCs w:val="20"/>
              </w:rPr>
              <w:t xml:space="preserve">were </w:t>
            </w:r>
            <w:r w:rsidR="006568B9" w:rsidRPr="007E2229">
              <w:rPr>
                <w:sz w:val="20"/>
                <w:szCs w:val="20"/>
              </w:rPr>
              <w:t>recycled</w:t>
            </w:r>
            <w:r w:rsidR="001D277C" w:rsidRPr="007E2229">
              <w:rPr>
                <w:sz w:val="20"/>
                <w:szCs w:val="20"/>
              </w:rPr>
              <w:t xml:space="preserve"> back to </w:t>
            </w:r>
            <w:r w:rsidR="00693852" w:rsidRPr="007E2229">
              <w:rPr>
                <w:sz w:val="20"/>
                <w:szCs w:val="20"/>
              </w:rPr>
              <w:t xml:space="preserve">the </w:t>
            </w:r>
            <w:r w:rsidR="006568B9" w:rsidRPr="007E2229">
              <w:rPr>
                <w:sz w:val="20"/>
                <w:szCs w:val="20"/>
              </w:rPr>
              <w:t>personal budget</w:t>
            </w:r>
            <w:r w:rsidR="001D277C" w:rsidRPr="007E2229">
              <w:rPr>
                <w:sz w:val="20"/>
                <w:szCs w:val="20"/>
              </w:rPr>
              <w:t xml:space="preserve"> holder</w:t>
            </w:r>
            <w:r w:rsidR="007E2229">
              <w:rPr>
                <w:sz w:val="20"/>
                <w:szCs w:val="20"/>
              </w:rPr>
              <w:t>.</w:t>
            </w:r>
            <w:r w:rsidR="000048E9">
              <w:rPr>
                <w:sz w:val="20"/>
                <w:szCs w:val="20"/>
              </w:rPr>
              <w:t xml:space="preserve">  Fraudulent</w:t>
            </w:r>
            <w:r w:rsidR="00FA0980">
              <w:rPr>
                <w:sz w:val="20"/>
                <w:szCs w:val="20"/>
              </w:rPr>
              <w:t xml:space="preserve"> </w:t>
            </w:r>
            <w:r w:rsidR="00FA0980">
              <w:rPr>
                <w:sz w:val="20"/>
                <w:szCs w:val="20"/>
              </w:rPr>
              <w:lastRenderedPageBreak/>
              <w:t xml:space="preserve">overpayment amounting to </w:t>
            </w:r>
            <w:r w:rsidR="00FA0980" w:rsidRPr="00421A09">
              <w:rPr>
                <w:sz w:val="20"/>
                <w:szCs w:val="20"/>
              </w:rPr>
              <w:t>£</w:t>
            </w:r>
            <w:r w:rsidR="00421A09" w:rsidRPr="00421A09">
              <w:rPr>
                <w:color w:val="000000"/>
                <w:sz w:val="20"/>
                <w:szCs w:val="20"/>
              </w:rPr>
              <w:t>59,378.96</w:t>
            </w:r>
            <w:r w:rsidR="00F30E77">
              <w:rPr>
                <w:color w:val="000000"/>
                <w:sz w:val="20"/>
                <w:szCs w:val="20"/>
              </w:rPr>
              <w:t xml:space="preserve"> resulted</w:t>
            </w:r>
            <w:r w:rsidR="00421A09">
              <w:rPr>
                <w:rFonts w:ascii="Calibri" w:hAnsi="Calibri" w:cs="Calibri"/>
                <w:color w:val="000000"/>
                <w:sz w:val="22"/>
                <w:szCs w:val="22"/>
              </w:rPr>
              <w:t>.</w:t>
            </w:r>
            <w:r w:rsidR="00421A09">
              <w:rPr>
                <w:sz w:val="20"/>
                <w:szCs w:val="20"/>
              </w:rPr>
              <w:t xml:space="preserve">  </w:t>
            </w:r>
            <w:r w:rsidR="00317552">
              <w:rPr>
                <w:sz w:val="20"/>
                <w:szCs w:val="20"/>
              </w:rPr>
              <w:t>Investigation</w:t>
            </w:r>
            <w:r w:rsidR="00693852" w:rsidRPr="007E2229">
              <w:rPr>
                <w:sz w:val="20"/>
                <w:szCs w:val="20"/>
              </w:rPr>
              <w:t xml:space="preserve"> is ongoing and no de</w:t>
            </w:r>
            <w:r w:rsidR="007E2229" w:rsidRPr="007E2229">
              <w:rPr>
                <w:sz w:val="20"/>
                <w:szCs w:val="20"/>
              </w:rPr>
              <w:t xml:space="preserve">cision </w:t>
            </w:r>
            <w:r w:rsidR="00317552">
              <w:rPr>
                <w:sz w:val="20"/>
                <w:szCs w:val="20"/>
              </w:rPr>
              <w:t xml:space="preserve">taken </w:t>
            </w:r>
            <w:r w:rsidR="007E2229" w:rsidRPr="007E2229">
              <w:rPr>
                <w:sz w:val="20"/>
                <w:szCs w:val="20"/>
              </w:rPr>
              <w:t>on criminal proceedings as yet</w:t>
            </w:r>
            <w:r w:rsidR="001D277C" w:rsidRPr="007E2229">
              <w:rPr>
                <w:sz w:val="20"/>
                <w:szCs w:val="20"/>
              </w:rPr>
              <w:t>.</w:t>
            </w:r>
          </w:p>
          <w:p w14:paraId="50AF1BC9" w14:textId="1D610044" w:rsidR="00CB0747" w:rsidRPr="001B776D" w:rsidRDefault="00CB0747" w:rsidP="00A848A3">
            <w:pPr>
              <w:rPr>
                <w:sz w:val="20"/>
                <w:szCs w:val="20"/>
                <w:lang w:val="en-US"/>
              </w:rPr>
            </w:pPr>
          </w:p>
          <w:p w14:paraId="3F9D7AAE" w14:textId="3F743103" w:rsidR="00F02E1E" w:rsidRPr="00FA758D" w:rsidRDefault="008C728E" w:rsidP="00A848A3">
            <w:pPr>
              <w:rPr>
                <w:b/>
                <w:sz w:val="20"/>
                <w:szCs w:val="20"/>
              </w:rPr>
            </w:pPr>
            <w:r w:rsidRPr="00E52974">
              <w:rPr>
                <w:b/>
                <w:sz w:val="20"/>
                <w:szCs w:val="20"/>
              </w:rPr>
              <w:t>Overall fraud loss</w:t>
            </w:r>
            <w:r w:rsidR="00EF57AA">
              <w:rPr>
                <w:b/>
                <w:sz w:val="20"/>
                <w:szCs w:val="20"/>
              </w:rPr>
              <w:t>/prevention</w:t>
            </w:r>
            <w:r w:rsidRPr="00E52974">
              <w:rPr>
                <w:b/>
                <w:sz w:val="20"/>
                <w:szCs w:val="20"/>
              </w:rPr>
              <w:t xml:space="preserve"> </w:t>
            </w:r>
            <w:r w:rsidR="00E36888">
              <w:rPr>
                <w:b/>
                <w:sz w:val="20"/>
                <w:szCs w:val="20"/>
              </w:rPr>
              <w:t>identified</w:t>
            </w:r>
            <w:r w:rsidRPr="00E52974">
              <w:rPr>
                <w:b/>
                <w:sz w:val="20"/>
                <w:szCs w:val="20"/>
              </w:rPr>
              <w:t xml:space="preserve"> attributed to the </w:t>
            </w:r>
            <w:r w:rsidR="00D5792F">
              <w:rPr>
                <w:b/>
                <w:sz w:val="20"/>
                <w:szCs w:val="20"/>
              </w:rPr>
              <w:t xml:space="preserve">social care </w:t>
            </w:r>
            <w:r w:rsidRPr="00E52974">
              <w:rPr>
                <w:b/>
                <w:sz w:val="20"/>
                <w:szCs w:val="20"/>
              </w:rPr>
              <w:t>fraud work stream is £</w:t>
            </w:r>
            <w:r w:rsidR="00C578A2">
              <w:rPr>
                <w:b/>
                <w:sz w:val="20"/>
                <w:szCs w:val="20"/>
              </w:rPr>
              <w:t>317</w:t>
            </w:r>
            <w:r w:rsidR="00FA758D">
              <w:rPr>
                <w:b/>
                <w:sz w:val="20"/>
                <w:szCs w:val="20"/>
              </w:rPr>
              <w:t>,792.80</w:t>
            </w:r>
            <w:r>
              <w:rPr>
                <w:b/>
                <w:sz w:val="20"/>
                <w:szCs w:val="20"/>
              </w:rPr>
              <w:t>.</w:t>
            </w:r>
          </w:p>
          <w:p w14:paraId="51B24991" w14:textId="5D37C56B" w:rsidR="00F02E1E" w:rsidRPr="00917B29" w:rsidRDefault="00F02E1E" w:rsidP="00A848A3">
            <w:pPr>
              <w:rPr>
                <w:color w:val="FF0000"/>
                <w:sz w:val="20"/>
                <w:szCs w:val="20"/>
                <w:lang w:val="en-US"/>
              </w:rPr>
            </w:pPr>
          </w:p>
        </w:tc>
      </w:tr>
      <w:tr w:rsidR="0017605D" w:rsidRPr="005F0B23" w14:paraId="3B6D39B4" w14:textId="77777777" w:rsidTr="005B6965">
        <w:trPr>
          <w:trHeight w:val="251"/>
        </w:trPr>
        <w:tc>
          <w:tcPr>
            <w:tcW w:w="576" w:type="dxa"/>
            <w:tcBorders>
              <w:top w:val="single" w:sz="4" w:space="0" w:color="auto"/>
              <w:left w:val="single" w:sz="4" w:space="0" w:color="auto"/>
              <w:bottom w:val="single" w:sz="4" w:space="0" w:color="auto"/>
              <w:right w:val="single" w:sz="4" w:space="0" w:color="auto"/>
            </w:tcBorders>
          </w:tcPr>
          <w:p w14:paraId="52C842CD" w14:textId="77777777" w:rsidR="0017605D" w:rsidRPr="005F0B23" w:rsidRDefault="006F0585" w:rsidP="007816FE">
            <w:pPr>
              <w:rPr>
                <w:sz w:val="20"/>
                <w:szCs w:val="20"/>
              </w:rPr>
            </w:pPr>
            <w:r>
              <w:rPr>
                <w:sz w:val="20"/>
                <w:szCs w:val="20"/>
              </w:rPr>
              <w:lastRenderedPageBreak/>
              <w:t>11.</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6DC153C7" w14:textId="77777777" w:rsidR="00A827AA" w:rsidRPr="00A827AA" w:rsidRDefault="00A827AA" w:rsidP="00A827AA">
            <w:pPr>
              <w:rPr>
                <w:b/>
                <w:bCs/>
                <w:sz w:val="20"/>
                <w:szCs w:val="20"/>
              </w:rPr>
            </w:pPr>
            <w:r w:rsidRPr="00A827AA">
              <w:rPr>
                <w:b/>
                <w:bCs/>
                <w:sz w:val="20"/>
                <w:szCs w:val="20"/>
              </w:rPr>
              <w:t>Risk assess allegations of internal fraud and corruption</w:t>
            </w:r>
          </w:p>
          <w:p w14:paraId="64B1AAE7" w14:textId="77777777" w:rsidR="0017605D" w:rsidRDefault="0017605D" w:rsidP="00F97D84">
            <w:pPr>
              <w:pStyle w:val="Default"/>
              <w:rPr>
                <w:b/>
                <w:bCs/>
                <w:sz w:val="20"/>
                <w:szCs w:val="20"/>
              </w:rPr>
            </w:pPr>
          </w:p>
          <w:p w14:paraId="591CA25A" w14:textId="5236ABA9" w:rsidR="00797376" w:rsidRPr="00A827AA" w:rsidRDefault="00072C9C" w:rsidP="00F97D84">
            <w:pPr>
              <w:pStyle w:val="Default"/>
              <w:rPr>
                <w:b/>
                <w:bCs/>
                <w:sz w:val="20"/>
                <w:szCs w:val="20"/>
              </w:rPr>
            </w:pPr>
            <w:r w:rsidRPr="00502F8C">
              <w:rPr>
                <w:sz w:val="20"/>
                <w:szCs w:val="20"/>
                <w:lang w:val="en-US"/>
              </w:rPr>
              <w:t xml:space="preserve">Risk assess 85% of allegations of fraud and corruption and deploy resources on those cases deemed sufficiently high enough fraud risk within an average of </w:t>
            </w:r>
            <w:r>
              <w:rPr>
                <w:sz w:val="20"/>
                <w:szCs w:val="20"/>
                <w:lang w:val="en-US"/>
              </w:rPr>
              <w:t>5</w:t>
            </w:r>
            <w:r w:rsidRPr="00502F8C">
              <w:rPr>
                <w:sz w:val="20"/>
                <w:szCs w:val="20"/>
                <w:lang w:val="en-US"/>
              </w:rPr>
              <w:t xml:space="preserve"> working days of receipt of the information (KPI</w:t>
            </w:r>
            <w:r>
              <w:rPr>
                <w:sz w:val="20"/>
                <w:szCs w:val="20"/>
                <w:lang w:val="en-US"/>
              </w:rPr>
              <w:t>3</w:t>
            </w:r>
          </w:p>
          <w:p w14:paraId="7B90BECD" w14:textId="783D59F9" w:rsidR="00A827AA" w:rsidRPr="007C6042" w:rsidRDefault="00A827AA" w:rsidP="00F97D84">
            <w:pPr>
              <w:pStyle w:val="Default"/>
              <w:rPr>
                <w:b/>
                <w:sz w:val="20"/>
                <w:szCs w:val="20"/>
              </w:rPr>
            </w:pPr>
          </w:p>
        </w:tc>
        <w:tc>
          <w:tcPr>
            <w:tcW w:w="6124" w:type="dxa"/>
            <w:tcBorders>
              <w:top w:val="single" w:sz="4" w:space="0" w:color="auto"/>
              <w:left w:val="nil"/>
              <w:bottom w:val="single" w:sz="4" w:space="0" w:color="auto"/>
              <w:right w:val="single" w:sz="4" w:space="0" w:color="auto"/>
            </w:tcBorders>
            <w:shd w:val="clear" w:color="auto" w:fill="auto"/>
          </w:tcPr>
          <w:p w14:paraId="7AF4AE0A" w14:textId="16EE9ECC" w:rsidR="0017605D" w:rsidRPr="00313F20" w:rsidRDefault="00125009" w:rsidP="00D7770D">
            <w:pPr>
              <w:rPr>
                <w:b/>
                <w:sz w:val="20"/>
                <w:szCs w:val="20"/>
              </w:rPr>
            </w:pPr>
            <w:r>
              <w:rPr>
                <w:b/>
                <w:sz w:val="20"/>
                <w:szCs w:val="20"/>
              </w:rPr>
              <w:t xml:space="preserve">Objective </w:t>
            </w:r>
            <w:r w:rsidR="006F53B0">
              <w:rPr>
                <w:b/>
                <w:sz w:val="20"/>
                <w:szCs w:val="20"/>
              </w:rPr>
              <w:t>achieved</w:t>
            </w:r>
          </w:p>
          <w:p w14:paraId="17C5A14F" w14:textId="77777777" w:rsidR="00F942E6" w:rsidRPr="00072C9C" w:rsidRDefault="00F942E6" w:rsidP="00D7770D">
            <w:pPr>
              <w:rPr>
                <w:color w:val="FF0000"/>
                <w:sz w:val="20"/>
                <w:szCs w:val="20"/>
              </w:rPr>
            </w:pPr>
          </w:p>
          <w:p w14:paraId="13CA07ED" w14:textId="6A36294A" w:rsidR="004F3AA5" w:rsidRPr="00072C9C" w:rsidRDefault="000C3E43" w:rsidP="000E3A61">
            <w:pPr>
              <w:rPr>
                <w:color w:val="FF0000"/>
                <w:sz w:val="20"/>
                <w:szCs w:val="20"/>
              </w:rPr>
            </w:pPr>
            <w:r w:rsidRPr="008555B9">
              <w:rPr>
                <w:sz w:val="20"/>
                <w:szCs w:val="20"/>
              </w:rPr>
              <w:t>Of the</w:t>
            </w:r>
            <w:r w:rsidR="009D2A8E" w:rsidRPr="008555B9">
              <w:rPr>
                <w:sz w:val="20"/>
                <w:szCs w:val="20"/>
              </w:rPr>
              <w:t xml:space="preserve"> 12</w:t>
            </w:r>
            <w:r w:rsidRPr="008555B9">
              <w:rPr>
                <w:sz w:val="20"/>
                <w:szCs w:val="20"/>
              </w:rPr>
              <w:t xml:space="preserve"> </w:t>
            </w:r>
            <w:r w:rsidR="0017605D" w:rsidRPr="008555B9">
              <w:rPr>
                <w:sz w:val="20"/>
                <w:szCs w:val="20"/>
              </w:rPr>
              <w:t>intern</w:t>
            </w:r>
            <w:r w:rsidR="00F942E6" w:rsidRPr="008555B9">
              <w:rPr>
                <w:sz w:val="20"/>
                <w:szCs w:val="20"/>
              </w:rPr>
              <w:t>al fraud referrals received,</w:t>
            </w:r>
            <w:r w:rsidR="00B75853" w:rsidRPr="008555B9">
              <w:rPr>
                <w:sz w:val="20"/>
                <w:szCs w:val="20"/>
              </w:rPr>
              <w:t xml:space="preserve"> </w:t>
            </w:r>
            <w:r w:rsidR="009D2A8E" w:rsidRPr="008555B9">
              <w:rPr>
                <w:sz w:val="20"/>
                <w:szCs w:val="20"/>
              </w:rPr>
              <w:t xml:space="preserve">all </w:t>
            </w:r>
            <w:r w:rsidR="006430DD" w:rsidRPr="008555B9">
              <w:rPr>
                <w:sz w:val="20"/>
                <w:szCs w:val="20"/>
              </w:rPr>
              <w:t>1</w:t>
            </w:r>
            <w:r w:rsidR="009D2A8E" w:rsidRPr="008555B9">
              <w:rPr>
                <w:sz w:val="20"/>
                <w:szCs w:val="20"/>
              </w:rPr>
              <w:t>2</w:t>
            </w:r>
            <w:r w:rsidR="006430DD" w:rsidRPr="008555B9">
              <w:rPr>
                <w:sz w:val="20"/>
                <w:szCs w:val="20"/>
              </w:rPr>
              <w:t xml:space="preserve"> </w:t>
            </w:r>
            <w:r w:rsidR="0017605D" w:rsidRPr="008555B9">
              <w:rPr>
                <w:sz w:val="20"/>
                <w:szCs w:val="20"/>
              </w:rPr>
              <w:t xml:space="preserve">were risk assessed and resources allocated </w:t>
            </w:r>
            <w:r w:rsidR="00B75853" w:rsidRPr="008555B9">
              <w:rPr>
                <w:sz w:val="20"/>
                <w:szCs w:val="20"/>
              </w:rPr>
              <w:t xml:space="preserve">within </w:t>
            </w:r>
            <w:r w:rsidR="0017605D" w:rsidRPr="008555B9">
              <w:rPr>
                <w:sz w:val="20"/>
                <w:szCs w:val="20"/>
              </w:rPr>
              <w:t>in 5 working days</w:t>
            </w:r>
            <w:r w:rsidR="006430DD" w:rsidRPr="00072C9C">
              <w:rPr>
                <w:color w:val="FF0000"/>
                <w:sz w:val="20"/>
                <w:szCs w:val="20"/>
              </w:rPr>
              <w:t>.</w:t>
            </w:r>
            <w:r w:rsidR="00B75853" w:rsidRPr="00072C9C">
              <w:rPr>
                <w:color w:val="FF0000"/>
                <w:sz w:val="20"/>
                <w:szCs w:val="20"/>
              </w:rPr>
              <w:t xml:space="preserve"> </w:t>
            </w:r>
          </w:p>
          <w:p w14:paraId="489ED9BA" w14:textId="77777777" w:rsidR="00927175" w:rsidRPr="008555B9" w:rsidRDefault="00927175" w:rsidP="000E3A61">
            <w:pPr>
              <w:rPr>
                <w:sz w:val="20"/>
                <w:szCs w:val="20"/>
              </w:rPr>
            </w:pPr>
          </w:p>
          <w:p w14:paraId="11138B1E" w14:textId="582890FD" w:rsidR="0017605D" w:rsidRPr="00072C9C" w:rsidRDefault="00A31D7E" w:rsidP="000E3A61">
            <w:pPr>
              <w:rPr>
                <w:b/>
                <w:color w:val="FF0000"/>
                <w:sz w:val="20"/>
                <w:szCs w:val="20"/>
              </w:rPr>
            </w:pPr>
            <w:r w:rsidRPr="008555B9">
              <w:rPr>
                <w:b/>
                <w:sz w:val="20"/>
                <w:szCs w:val="20"/>
              </w:rPr>
              <w:t>KPI3 target 8</w:t>
            </w:r>
            <w:r w:rsidR="00280FBF" w:rsidRPr="008555B9">
              <w:rPr>
                <w:b/>
                <w:sz w:val="20"/>
                <w:szCs w:val="20"/>
              </w:rPr>
              <w:t>5</w:t>
            </w:r>
            <w:r w:rsidRPr="008555B9">
              <w:rPr>
                <w:b/>
                <w:sz w:val="20"/>
                <w:szCs w:val="20"/>
              </w:rPr>
              <w:t>%, achiev</w:t>
            </w:r>
            <w:r w:rsidR="003514D6" w:rsidRPr="008555B9">
              <w:rPr>
                <w:b/>
                <w:sz w:val="20"/>
                <w:szCs w:val="20"/>
              </w:rPr>
              <w:t>ed</w:t>
            </w:r>
            <w:r w:rsidR="00F942E6" w:rsidRPr="008555B9">
              <w:rPr>
                <w:b/>
                <w:sz w:val="20"/>
                <w:szCs w:val="20"/>
              </w:rPr>
              <w:t xml:space="preserve"> </w:t>
            </w:r>
            <w:r w:rsidR="009D2A8E" w:rsidRPr="008555B9">
              <w:rPr>
                <w:b/>
                <w:sz w:val="20"/>
                <w:szCs w:val="20"/>
              </w:rPr>
              <w:t>100</w:t>
            </w:r>
            <w:r w:rsidR="004F3AA5" w:rsidRPr="008555B9">
              <w:rPr>
                <w:b/>
                <w:sz w:val="20"/>
                <w:szCs w:val="20"/>
              </w:rPr>
              <w:t>%</w:t>
            </w:r>
            <w:r w:rsidR="0017605D" w:rsidRPr="008555B9">
              <w:rPr>
                <w:b/>
                <w:sz w:val="20"/>
                <w:szCs w:val="20"/>
              </w:rPr>
              <w:t>.</w:t>
            </w:r>
          </w:p>
          <w:p w14:paraId="35CCA982" w14:textId="77777777" w:rsidR="0017605D" w:rsidRPr="00072C9C" w:rsidRDefault="0017605D" w:rsidP="000E3A61">
            <w:pPr>
              <w:rPr>
                <w:color w:val="FF0000"/>
                <w:sz w:val="20"/>
                <w:szCs w:val="20"/>
              </w:rPr>
            </w:pPr>
            <w:r w:rsidRPr="00072C9C">
              <w:rPr>
                <w:color w:val="FF0000"/>
                <w:sz w:val="20"/>
                <w:szCs w:val="20"/>
              </w:rPr>
              <w:t xml:space="preserve">  </w:t>
            </w:r>
          </w:p>
          <w:p w14:paraId="00DF5F15" w14:textId="7C46E852" w:rsidR="001D6A6F" w:rsidRPr="00C54C65" w:rsidRDefault="00D31457" w:rsidP="00D7770D">
            <w:pPr>
              <w:rPr>
                <w:sz w:val="20"/>
                <w:szCs w:val="20"/>
              </w:rPr>
            </w:pPr>
            <w:r w:rsidRPr="00C54C65">
              <w:rPr>
                <w:sz w:val="20"/>
                <w:szCs w:val="20"/>
              </w:rPr>
              <w:t xml:space="preserve">There </w:t>
            </w:r>
            <w:r w:rsidR="00AA3A94" w:rsidRPr="00C54C65">
              <w:rPr>
                <w:sz w:val="20"/>
                <w:szCs w:val="20"/>
              </w:rPr>
              <w:t>w</w:t>
            </w:r>
            <w:r w:rsidR="008555B9" w:rsidRPr="00C54C65">
              <w:rPr>
                <w:sz w:val="20"/>
                <w:szCs w:val="20"/>
              </w:rPr>
              <w:t xml:space="preserve">as 1 </w:t>
            </w:r>
            <w:r w:rsidR="00D41812" w:rsidRPr="00C54C65">
              <w:rPr>
                <w:sz w:val="20"/>
                <w:szCs w:val="20"/>
              </w:rPr>
              <w:t>positive outcome</w:t>
            </w:r>
            <w:r w:rsidR="00132A00" w:rsidRPr="00C54C65">
              <w:rPr>
                <w:sz w:val="20"/>
                <w:szCs w:val="20"/>
              </w:rPr>
              <w:t xml:space="preserve"> where an employee</w:t>
            </w:r>
            <w:r w:rsidR="00F864B3" w:rsidRPr="00C54C65">
              <w:rPr>
                <w:sz w:val="20"/>
                <w:szCs w:val="20"/>
              </w:rPr>
              <w:t xml:space="preserve"> </w:t>
            </w:r>
            <w:r w:rsidR="006565AC" w:rsidRPr="00C54C65">
              <w:rPr>
                <w:sz w:val="20"/>
                <w:szCs w:val="20"/>
              </w:rPr>
              <w:t xml:space="preserve">deployed in parking </w:t>
            </w:r>
            <w:r w:rsidR="00C54C65" w:rsidRPr="00C54C65">
              <w:rPr>
                <w:sz w:val="20"/>
                <w:szCs w:val="20"/>
              </w:rPr>
              <w:t xml:space="preserve">enforcement </w:t>
            </w:r>
            <w:r w:rsidR="00F864B3" w:rsidRPr="00C54C65">
              <w:rPr>
                <w:sz w:val="20"/>
                <w:szCs w:val="20"/>
              </w:rPr>
              <w:t>was dismissed for blue badge misuse against a neig</w:t>
            </w:r>
            <w:r w:rsidR="006565AC" w:rsidRPr="00C54C65">
              <w:rPr>
                <w:sz w:val="20"/>
                <w:szCs w:val="20"/>
              </w:rPr>
              <w:t>h</w:t>
            </w:r>
            <w:r w:rsidR="00F864B3" w:rsidRPr="00C54C65">
              <w:rPr>
                <w:sz w:val="20"/>
                <w:szCs w:val="20"/>
              </w:rPr>
              <w:t>bouring borough</w:t>
            </w:r>
            <w:r w:rsidR="00C54C65">
              <w:rPr>
                <w:sz w:val="20"/>
                <w:szCs w:val="20"/>
              </w:rPr>
              <w:t>.</w:t>
            </w:r>
            <w:r w:rsidR="00132A00" w:rsidRPr="00C54C65">
              <w:rPr>
                <w:sz w:val="20"/>
                <w:szCs w:val="20"/>
              </w:rPr>
              <w:t xml:space="preserve"> </w:t>
            </w:r>
          </w:p>
          <w:p w14:paraId="2E3E42BB" w14:textId="4AEA6258" w:rsidR="00661183" w:rsidRPr="00072C9C" w:rsidRDefault="00F73A52" w:rsidP="003C572F">
            <w:pPr>
              <w:rPr>
                <w:color w:val="FF0000"/>
                <w:sz w:val="20"/>
                <w:szCs w:val="20"/>
              </w:rPr>
            </w:pPr>
            <w:r w:rsidRPr="00072C9C">
              <w:rPr>
                <w:color w:val="FF0000"/>
                <w:sz w:val="20"/>
                <w:szCs w:val="20"/>
              </w:rPr>
              <w:t xml:space="preserve"> </w:t>
            </w:r>
            <w:r w:rsidR="0017605D" w:rsidRPr="00072C9C">
              <w:rPr>
                <w:color w:val="FF0000"/>
                <w:sz w:val="20"/>
                <w:szCs w:val="20"/>
              </w:rPr>
              <w:t xml:space="preserve"> </w:t>
            </w:r>
          </w:p>
          <w:p w14:paraId="20DBDB22" w14:textId="0D308F70" w:rsidR="0017605D" w:rsidRPr="00C54C65" w:rsidRDefault="0017605D" w:rsidP="006E47CC">
            <w:pPr>
              <w:rPr>
                <w:b/>
                <w:sz w:val="20"/>
                <w:szCs w:val="20"/>
              </w:rPr>
            </w:pPr>
            <w:r w:rsidRPr="00C54C65">
              <w:rPr>
                <w:b/>
                <w:sz w:val="20"/>
                <w:szCs w:val="20"/>
              </w:rPr>
              <w:t xml:space="preserve">Overall fraud </w:t>
            </w:r>
            <w:r w:rsidR="00352746" w:rsidRPr="00C54C65">
              <w:rPr>
                <w:b/>
                <w:sz w:val="20"/>
                <w:szCs w:val="20"/>
              </w:rPr>
              <w:t>loss prevented</w:t>
            </w:r>
            <w:r w:rsidRPr="00C54C65">
              <w:rPr>
                <w:b/>
                <w:sz w:val="20"/>
                <w:szCs w:val="20"/>
              </w:rPr>
              <w:t xml:space="preserve"> attributed</w:t>
            </w:r>
            <w:r w:rsidR="00D41812" w:rsidRPr="00C54C65">
              <w:rPr>
                <w:b/>
                <w:sz w:val="20"/>
                <w:szCs w:val="20"/>
              </w:rPr>
              <w:t xml:space="preserve"> to this work stream is £</w:t>
            </w:r>
            <w:r w:rsidR="007B6828">
              <w:rPr>
                <w:b/>
                <w:sz w:val="20"/>
                <w:szCs w:val="20"/>
              </w:rPr>
              <w:t>34,322.48</w:t>
            </w:r>
            <w:r w:rsidR="00F868B9">
              <w:rPr>
                <w:rStyle w:val="FootnoteReference"/>
                <w:b/>
                <w:sz w:val="20"/>
                <w:szCs w:val="20"/>
              </w:rPr>
              <w:footnoteReference w:id="4"/>
            </w:r>
            <w:r w:rsidR="007B6828">
              <w:rPr>
                <w:b/>
                <w:sz w:val="20"/>
                <w:szCs w:val="20"/>
              </w:rPr>
              <w:t>.</w:t>
            </w:r>
            <w:r w:rsidR="003F11D7" w:rsidRPr="00C54C65">
              <w:rPr>
                <w:b/>
                <w:sz w:val="20"/>
                <w:szCs w:val="20"/>
              </w:rPr>
              <w:t xml:space="preserve"> </w:t>
            </w:r>
          </w:p>
          <w:p w14:paraId="1AB99EC7" w14:textId="77777777" w:rsidR="00C54C65" w:rsidRDefault="00C54C65" w:rsidP="006E47CC">
            <w:pPr>
              <w:rPr>
                <w:b/>
                <w:sz w:val="20"/>
                <w:szCs w:val="20"/>
              </w:rPr>
            </w:pPr>
          </w:p>
          <w:p w14:paraId="0BD66855" w14:textId="55A4C739" w:rsidR="00C54C65" w:rsidRPr="00F50C7D" w:rsidRDefault="00C54C65" w:rsidP="006E47CC">
            <w:pPr>
              <w:rPr>
                <w:b/>
                <w:sz w:val="20"/>
                <w:szCs w:val="20"/>
              </w:rPr>
            </w:pPr>
          </w:p>
        </w:tc>
      </w:tr>
      <w:tr w:rsidR="0017605D" w:rsidRPr="006B4ED5" w14:paraId="048641BF" w14:textId="77777777" w:rsidTr="005B6965">
        <w:trPr>
          <w:trHeight w:val="251"/>
        </w:trPr>
        <w:tc>
          <w:tcPr>
            <w:tcW w:w="576" w:type="dxa"/>
            <w:tcBorders>
              <w:top w:val="single" w:sz="4" w:space="0" w:color="auto"/>
              <w:left w:val="single" w:sz="4" w:space="0" w:color="auto"/>
              <w:bottom w:val="single" w:sz="4" w:space="0" w:color="auto"/>
              <w:right w:val="single" w:sz="4" w:space="0" w:color="auto"/>
            </w:tcBorders>
          </w:tcPr>
          <w:p w14:paraId="684B8A67" w14:textId="77777777" w:rsidR="0017605D" w:rsidRPr="006B4ED5" w:rsidRDefault="00930342" w:rsidP="007816FE">
            <w:pPr>
              <w:rPr>
                <w:sz w:val="20"/>
                <w:szCs w:val="20"/>
                <w:lang w:val="en-US"/>
              </w:rPr>
            </w:pPr>
            <w:r>
              <w:rPr>
                <w:sz w:val="20"/>
                <w:szCs w:val="20"/>
                <w:lang w:val="en-US"/>
              </w:rPr>
              <w:t>1</w:t>
            </w:r>
            <w:r w:rsidR="006F0585">
              <w:rPr>
                <w:sz w:val="20"/>
                <w:szCs w:val="20"/>
                <w:lang w:val="en-US"/>
              </w:rPr>
              <w:t>2.</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14:paraId="0A9448C6" w14:textId="77777777" w:rsidR="00331556" w:rsidRPr="00155A99" w:rsidRDefault="00331556" w:rsidP="00331556">
            <w:pPr>
              <w:rPr>
                <w:b/>
                <w:bCs/>
                <w:sz w:val="20"/>
                <w:szCs w:val="20"/>
              </w:rPr>
            </w:pPr>
            <w:r w:rsidRPr="00155A99">
              <w:rPr>
                <w:b/>
                <w:bCs/>
                <w:sz w:val="20"/>
                <w:szCs w:val="20"/>
              </w:rPr>
              <w:t>Risk assess allegations of fraud and corruption</w:t>
            </w:r>
          </w:p>
          <w:p w14:paraId="75B8939E" w14:textId="77777777" w:rsidR="00331556" w:rsidRPr="00502F8C" w:rsidRDefault="00331556" w:rsidP="00331556">
            <w:pPr>
              <w:rPr>
                <w:sz w:val="20"/>
                <w:szCs w:val="20"/>
              </w:rPr>
            </w:pPr>
          </w:p>
          <w:p w14:paraId="77C151C8" w14:textId="77777777" w:rsidR="00155A99" w:rsidRPr="00502F8C" w:rsidRDefault="00155A99" w:rsidP="00155A99">
            <w:pPr>
              <w:rPr>
                <w:sz w:val="20"/>
                <w:szCs w:val="20"/>
                <w:lang w:val="en-US"/>
              </w:rPr>
            </w:pPr>
            <w:r w:rsidRPr="00502F8C">
              <w:rPr>
                <w:sz w:val="20"/>
                <w:szCs w:val="20"/>
                <w:lang w:val="en-US"/>
              </w:rPr>
              <w:t>Risk assess 85% of allegations of fraud and corruption and deploy resources on those cases deemed sufficiently high enough fraud risk within an average of 10 working days of receipt of the information (KPI4)</w:t>
            </w:r>
          </w:p>
          <w:p w14:paraId="16E6A992" w14:textId="2836D026" w:rsidR="00331556" w:rsidRPr="007C6042" w:rsidRDefault="00331556" w:rsidP="007816FE">
            <w:pPr>
              <w:rPr>
                <w:b/>
                <w:sz w:val="20"/>
                <w:szCs w:val="20"/>
                <w:lang w:val="en-US"/>
              </w:rPr>
            </w:pPr>
          </w:p>
        </w:tc>
        <w:tc>
          <w:tcPr>
            <w:tcW w:w="6124" w:type="dxa"/>
            <w:tcBorders>
              <w:top w:val="single" w:sz="4" w:space="0" w:color="auto"/>
              <w:left w:val="nil"/>
              <w:bottom w:val="single" w:sz="4" w:space="0" w:color="auto"/>
              <w:right w:val="single" w:sz="4" w:space="0" w:color="auto"/>
            </w:tcBorders>
            <w:shd w:val="clear" w:color="auto" w:fill="auto"/>
          </w:tcPr>
          <w:p w14:paraId="1C5B128C" w14:textId="170E4091" w:rsidR="00347F8E" w:rsidRPr="006F53B0" w:rsidRDefault="0015495B" w:rsidP="002C2AE0">
            <w:pPr>
              <w:rPr>
                <w:b/>
                <w:bCs/>
                <w:sz w:val="20"/>
                <w:szCs w:val="20"/>
              </w:rPr>
            </w:pPr>
            <w:r w:rsidRPr="006F53B0">
              <w:rPr>
                <w:b/>
                <w:bCs/>
                <w:sz w:val="20"/>
                <w:szCs w:val="20"/>
              </w:rPr>
              <w:t xml:space="preserve">Objective </w:t>
            </w:r>
            <w:r w:rsidR="006F53B0" w:rsidRPr="006F53B0">
              <w:rPr>
                <w:b/>
                <w:bCs/>
                <w:sz w:val="20"/>
                <w:szCs w:val="20"/>
              </w:rPr>
              <w:t>achieved</w:t>
            </w:r>
          </w:p>
          <w:p w14:paraId="6633F30C" w14:textId="77777777" w:rsidR="005F2B39" w:rsidRPr="00C061F6" w:rsidRDefault="005F2B39" w:rsidP="002C2AE0">
            <w:pPr>
              <w:rPr>
                <w:b/>
                <w:bCs/>
                <w:color w:val="FF0000"/>
                <w:sz w:val="20"/>
                <w:szCs w:val="20"/>
              </w:rPr>
            </w:pPr>
          </w:p>
          <w:p w14:paraId="5F274575" w14:textId="77777777" w:rsidR="005F2B39" w:rsidRDefault="006F53B0" w:rsidP="002C2AE0">
            <w:pPr>
              <w:rPr>
                <w:sz w:val="20"/>
                <w:szCs w:val="20"/>
              </w:rPr>
            </w:pPr>
            <w:r w:rsidRPr="005C79F8">
              <w:rPr>
                <w:sz w:val="20"/>
                <w:szCs w:val="20"/>
              </w:rPr>
              <w:t>Of the 94 fraud referrals received</w:t>
            </w:r>
            <w:r w:rsidR="005C79F8" w:rsidRPr="005C79F8">
              <w:rPr>
                <w:sz w:val="20"/>
                <w:szCs w:val="20"/>
              </w:rPr>
              <w:t>, 93 were risks assessed and resources allocated within 10 working days.</w:t>
            </w:r>
          </w:p>
          <w:p w14:paraId="286B620A" w14:textId="77777777" w:rsidR="005C79F8" w:rsidRDefault="005C79F8" w:rsidP="002C2AE0">
            <w:pPr>
              <w:rPr>
                <w:sz w:val="20"/>
                <w:szCs w:val="20"/>
              </w:rPr>
            </w:pPr>
          </w:p>
          <w:p w14:paraId="3A9CD2F4" w14:textId="4C59F4F5" w:rsidR="005C79F8" w:rsidRPr="00731ED8" w:rsidRDefault="005C79F8" w:rsidP="005C79F8">
            <w:pPr>
              <w:rPr>
                <w:b/>
                <w:sz w:val="20"/>
                <w:szCs w:val="20"/>
              </w:rPr>
            </w:pPr>
            <w:r w:rsidRPr="00731ED8">
              <w:rPr>
                <w:b/>
                <w:sz w:val="20"/>
                <w:szCs w:val="20"/>
              </w:rPr>
              <w:t>KPI</w:t>
            </w:r>
            <w:r w:rsidR="00E03723" w:rsidRPr="00731ED8">
              <w:rPr>
                <w:b/>
                <w:sz w:val="20"/>
                <w:szCs w:val="20"/>
              </w:rPr>
              <w:t>4</w:t>
            </w:r>
            <w:r w:rsidRPr="00731ED8">
              <w:rPr>
                <w:b/>
                <w:sz w:val="20"/>
                <w:szCs w:val="20"/>
              </w:rPr>
              <w:t xml:space="preserve"> target 85%, achieved </w:t>
            </w:r>
            <w:r w:rsidR="00731ED8" w:rsidRPr="00731ED8">
              <w:rPr>
                <w:b/>
                <w:sz w:val="20"/>
                <w:szCs w:val="20"/>
              </w:rPr>
              <w:t>99</w:t>
            </w:r>
            <w:r w:rsidRPr="00731ED8">
              <w:rPr>
                <w:b/>
                <w:sz w:val="20"/>
                <w:szCs w:val="20"/>
              </w:rPr>
              <w:t>%.</w:t>
            </w:r>
          </w:p>
          <w:p w14:paraId="793F0696" w14:textId="77777777" w:rsidR="00E03723" w:rsidRDefault="00E03723" w:rsidP="005C79F8">
            <w:pPr>
              <w:rPr>
                <w:b/>
                <w:color w:val="FF0000"/>
                <w:sz w:val="20"/>
                <w:szCs w:val="20"/>
              </w:rPr>
            </w:pPr>
          </w:p>
          <w:p w14:paraId="6E640E2B" w14:textId="77777777" w:rsidR="00E03723" w:rsidRPr="00072C9C" w:rsidRDefault="00E03723" w:rsidP="005C79F8">
            <w:pPr>
              <w:rPr>
                <w:b/>
                <w:color w:val="FF0000"/>
                <w:sz w:val="20"/>
                <w:szCs w:val="20"/>
              </w:rPr>
            </w:pPr>
          </w:p>
          <w:p w14:paraId="48732604" w14:textId="00A0806C" w:rsidR="005C79F8" w:rsidRPr="005C79F8" w:rsidRDefault="005C79F8" w:rsidP="002C2AE0">
            <w:pPr>
              <w:rPr>
                <w:color w:val="FF0000"/>
                <w:sz w:val="20"/>
                <w:szCs w:val="20"/>
              </w:rPr>
            </w:pPr>
          </w:p>
        </w:tc>
      </w:tr>
    </w:tbl>
    <w:p w14:paraId="20ED519F" w14:textId="77777777" w:rsidR="0069329D" w:rsidRDefault="0069329D" w:rsidP="00F0044D">
      <w:pPr>
        <w:rPr>
          <w:b/>
          <w:sz w:val="20"/>
          <w:szCs w:val="20"/>
        </w:rPr>
      </w:pPr>
    </w:p>
    <w:p w14:paraId="4B610B77" w14:textId="2C850576" w:rsidR="004D01A2" w:rsidRPr="00646321" w:rsidRDefault="00FC6ABE" w:rsidP="002C54A1">
      <w:pPr>
        <w:rPr>
          <w:b/>
          <w:sz w:val="20"/>
          <w:szCs w:val="20"/>
        </w:rPr>
      </w:pPr>
      <w:r>
        <w:rPr>
          <w:b/>
        </w:rPr>
        <w:br w:type="page"/>
      </w:r>
    </w:p>
    <w:p w14:paraId="6501B1BD" w14:textId="77777777" w:rsidR="00007A7D" w:rsidRDefault="005F7FEC" w:rsidP="00007A7D">
      <w:pPr>
        <w:shd w:val="clear" w:color="auto" w:fill="17365D"/>
        <w:ind w:left="-142"/>
        <w:jc w:val="center"/>
        <w:rPr>
          <w:rFonts w:eastAsia="Calibri"/>
          <w:b/>
          <w:sz w:val="40"/>
          <w:szCs w:val="40"/>
          <w:shd w:val="clear" w:color="auto" w:fill="17365D"/>
        </w:rPr>
      </w:pPr>
      <w:r w:rsidRPr="005F7FEC">
        <w:rPr>
          <w:rFonts w:eastAsia="Calibri"/>
          <w:b/>
          <w:sz w:val="40"/>
          <w:szCs w:val="40"/>
          <w:shd w:val="clear" w:color="auto" w:fill="17365D"/>
        </w:rPr>
        <w:lastRenderedPageBreak/>
        <w:t xml:space="preserve">Performance of </w:t>
      </w:r>
      <w:r w:rsidR="00D93810">
        <w:rPr>
          <w:rFonts w:eastAsia="Calibri"/>
          <w:b/>
          <w:sz w:val="40"/>
          <w:szCs w:val="40"/>
          <w:shd w:val="clear" w:color="auto" w:fill="17365D"/>
        </w:rPr>
        <w:t>Corporate Anti-Fraud Team</w:t>
      </w:r>
      <w:r w:rsidR="00007A7D">
        <w:rPr>
          <w:rFonts w:eastAsia="Calibri"/>
          <w:b/>
          <w:sz w:val="40"/>
          <w:szCs w:val="40"/>
          <w:shd w:val="clear" w:color="auto" w:fill="17365D"/>
        </w:rPr>
        <w:t xml:space="preserve"> </w:t>
      </w:r>
    </w:p>
    <w:p w14:paraId="0D0C93E1" w14:textId="32FDB281" w:rsidR="005F7FEC" w:rsidRPr="00007A7D" w:rsidRDefault="00034572" w:rsidP="00007A7D">
      <w:pPr>
        <w:shd w:val="clear" w:color="auto" w:fill="17365D"/>
        <w:ind w:left="-142"/>
        <w:jc w:val="center"/>
        <w:rPr>
          <w:rFonts w:eastAsia="Calibri"/>
          <w:b/>
          <w:sz w:val="40"/>
          <w:szCs w:val="40"/>
          <w:shd w:val="clear" w:color="auto" w:fill="FFFFFF"/>
        </w:rPr>
      </w:pPr>
      <w:r>
        <w:rPr>
          <w:rFonts w:eastAsia="Calibri"/>
          <w:b/>
          <w:sz w:val="40"/>
          <w:szCs w:val="40"/>
          <w:shd w:val="clear" w:color="auto" w:fill="17365D"/>
        </w:rPr>
        <w:t>Year End 202</w:t>
      </w:r>
      <w:r w:rsidR="00155A99">
        <w:rPr>
          <w:rFonts w:eastAsia="Calibri"/>
          <w:b/>
          <w:sz w:val="40"/>
          <w:szCs w:val="40"/>
          <w:shd w:val="clear" w:color="auto" w:fill="17365D"/>
        </w:rPr>
        <w:t>2</w:t>
      </w:r>
      <w:r w:rsidR="00E44277">
        <w:rPr>
          <w:rFonts w:eastAsia="Calibri"/>
          <w:b/>
          <w:sz w:val="40"/>
          <w:szCs w:val="40"/>
          <w:shd w:val="clear" w:color="auto" w:fill="17365D"/>
        </w:rPr>
        <w:t>/2</w:t>
      </w:r>
      <w:r w:rsidR="00155A99">
        <w:rPr>
          <w:rFonts w:eastAsia="Calibri"/>
          <w:b/>
          <w:sz w:val="40"/>
          <w:szCs w:val="40"/>
          <w:shd w:val="clear" w:color="auto" w:fill="17365D"/>
        </w:rPr>
        <w:t>3</w:t>
      </w:r>
    </w:p>
    <w:p w14:paraId="3691C7A6" w14:textId="77777777" w:rsidR="000F7209" w:rsidRDefault="000F7209" w:rsidP="005F7FEC">
      <w:pPr>
        <w:shd w:val="clear" w:color="auto" w:fill="FFFFFF"/>
        <w:rPr>
          <w:b/>
        </w:rPr>
      </w:pPr>
    </w:p>
    <w:p w14:paraId="598E2215" w14:textId="37D40CA9" w:rsidR="005F7FEC" w:rsidRPr="005F7FEC" w:rsidRDefault="005F7FEC" w:rsidP="005F7FEC">
      <w:pPr>
        <w:shd w:val="clear" w:color="auto" w:fill="FFFFFF"/>
        <w:rPr>
          <w:rFonts w:eastAsia="Calibri"/>
        </w:rPr>
      </w:pPr>
      <w:r w:rsidRPr="005F7FEC">
        <w:rPr>
          <w:rFonts w:eastAsia="Calibri"/>
        </w:rPr>
        <w:t>Key Performance Indicators (KPIs)</w:t>
      </w:r>
      <w:r w:rsidR="00B6469F">
        <w:rPr>
          <w:rFonts w:eastAsia="Calibri"/>
        </w:rPr>
        <w:t xml:space="preserve"> were ag</w:t>
      </w:r>
      <w:r w:rsidR="00D545B4">
        <w:rPr>
          <w:rFonts w:eastAsia="Calibri"/>
        </w:rPr>
        <w:t>reed as part of the 20</w:t>
      </w:r>
      <w:r w:rsidR="00A32AB5">
        <w:rPr>
          <w:rFonts w:eastAsia="Calibri"/>
        </w:rPr>
        <w:t>2</w:t>
      </w:r>
      <w:r w:rsidR="00155A99">
        <w:rPr>
          <w:rFonts w:eastAsia="Calibri"/>
        </w:rPr>
        <w:t>2</w:t>
      </w:r>
      <w:r w:rsidR="00E44277">
        <w:rPr>
          <w:rFonts w:eastAsia="Calibri"/>
        </w:rPr>
        <w:t>/</w:t>
      </w:r>
      <w:r w:rsidR="00B6469F">
        <w:rPr>
          <w:rFonts w:eastAsia="Calibri"/>
        </w:rPr>
        <w:t>2</w:t>
      </w:r>
      <w:r w:rsidR="00155A99">
        <w:rPr>
          <w:rFonts w:eastAsia="Calibri"/>
        </w:rPr>
        <w:t>3</w:t>
      </w:r>
      <w:r w:rsidRPr="005F7FEC">
        <w:rPr>
          <w:rFonts w:eastAsia="Calibri"/>
        </w:rPr>
        <w:t xml:space="preserve"> </w:t>
      </w:r>
      <w:r>
        <w:rPr>
          <w:rFonts w:eastAsia="Calibri"/>
        </w:rPr>
        <w:t>Corporate Anti-Fraud Plan</w:t>
      </w:r>
      <w:r w:rsidR="00DE5F7A">
        <w:rPr>
          <w:rFonts w:eastAsia="Calibri"/>
        </w:rPr>
        <w:t>. P</w:t>
      </w:r>
      <w:r w:rsidRPr="005F7FEC">
        <w:rPr>
          <w:rFonts w:eastAsia="Calibri"/>
        </w:rPr>
        <w:t>erformance against these is set out in the table below:</w:t>
      </w:r>
      <w:r w:rsidR="00DE5F7A">
        <w:rPr>
          <w:rFonts w:eastAsia="Calibri"/>
        </w:rPr>
        <w:t xml:space="preserve"> -</w:t>
      </w:r>
    </w:p>
    <w:p w14:paraId="70CB1C1D" w14:textId="77777777" w:rsidR="004D01A2" w:rsidRDefault="004D01A2" w:rsidP="002C54A1">
      <w:pP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134"/>
        <w:gridCol w:w="1163"/>
        <w:gridCol w:w="4366"/>
      </w:tblGrid>
      <w:tr w:rsidR="00A229FF" w14:paraId="589FE484" w14:textId="77777777" w:rsidTr="003514D6">
        <w:tc>
          <w:tcPr>
            <w:tcW w:w="851" w:type="dxa"/>
            <w:shd w:val="clear" w:color="auto" w:fill="17365D"/>
          </w:tcPr>
          <w:p w14:paraId="3B0269D7" w14:textId="77777777" w:rsidR="00587E6E" w:rsidRPr="00D62D67" w:rsidRDefault="00587E6E" w:rsidP="00BD2AE1">
            <w:pPr>
              <w:rPr>
                <w:b/>
              </w:rPr>
            </w:pPr>
            <w:r w:rsidRPr="00D62D67">
              <w:rPr>
                <w:b/>
              </w:rPr>
              <w:t>No.</w:t>
            </w:r>
          </w:p>
        </w:tc>
        <w:tc>
          <w:tcPr>
            <w:tcW w:w="2693" w:type="dxa"/>
            <w:shd w:val="clear" w:color="auto" w:fill="17365D"/>
          </w:tcPr>
          <w:p w14:paraId="66A326C2" w14:textId="02A355A2" w:rsidR="00587E6E" w:rsidRDefault="00587E6E" w:rsidP="00BD2AE1">
            <w:pPr>
              <w:rPr>
                <w:b/>
              </w:rPr>
            </w:pPr>
            <w:r>
              <w:rPr>
                <w:b/>
              </w:rPr>
              <w:t>CAFT Key Performance Indicators 20</w:t>
            </w:r>
            <w:r w:rsidR="008C1730">
              <w:rPr>
                <w:b/>
              </w:rPr>
              <w:t>2</w:t>
            </w:r>
            <w:r>
              <w:rPr>
                <w:b/>
              </w:rPr>
              <w:t>2</w:t>
            </w:r>
            <w:r w:rsidR="00C03619">
              <w:rPr>
                <w:b/>
              </w:rPr>
              <w:t>/</w:t>
            </w:r>
            <w:r w:rsidR="008C1730">
              <w:rPr>
                <w:b/>
              </w:rPr>
              <w:t>23</w:t>
            </w:r>
          </w:p>
          <w:p w14:paraId="1C12CF86" w14:textId="77777777" w:rsidR="00587E6E" w:rsidRPr="00D62D67" w:rsidRDefault="00587E6E" w:rsidP="00BD2AE1">
            <w:pPr>
              <w:rPr>
                <w:b/>
              </w:rPr>
            </w:pPr>
          </w:p>
        </w:tc>
        <w:tc>
          <w:tcPr>
            <w:tcW w:w="1134" w:type="dxa"/>
            <w:shd w:val="clear" w:color="auto" w:fill="17365D"/>
          </w:tcPr>
          <w:p w14:paraId="335CB288" w14:textId="47DBBB75" w:rsidR="00587E6E" w:rsidRPr="00D62D67" w:rsidRDefault="003514D6" w:rsidP="00BD2AE1">
            <w:pPr>
              <w:rPr>
                <w:b/>
              </w:rPr>
            </w:pPr>
            <w:r>
              <w:rPr>
                <w:b/>
              </w:rPr>
              <w:t>Year-end target</w:t>
            </w:r>
          </w:p>
        </w:tc>
        <w:tc>
          <w:tcPr>
            <w:tcW w:w="1163" w:type="dxa"/>
            <w:tcBorders>
              <w:bottom w:val="single" w:sz="4" w:space="0" w:color="auto"/>
            </w:tcBorders>
            <w:shd w:val="clear" w:color="auto" w:fill="17365D"/>
          </w:tcPr>
          <w:p w14:paraId="0639D092" w14:textId="218A4CDB" w:rsidR="00587E6E" w:rsidRDefault="003514D6" w:rsidP="005F7FEC">
            <w:pPr>
              <w:rPr>
                <w:b/>
              </w:rPr>
            </w:pPr>
            <w:r>
              <w:rPr>
                <w:b/>
              </w:rPr>
              <w:t xml:space="preserve">Year-end </w:t>
            </w:r>
            <w:r w:rsidR="00587E6E">
              <w:rPr>
                <w:b/>
              </w:rPr>
              <w:t>output</w:t>
            </w:r>
          </w:p>
        </w:tc>
        <w:tc>
          <w:tcPr>
            <w:tcW w:w="4366" w:type="dxa"/>
            <w:tcBorders>
              <w:bottom w:val="single" w:sz="4" w:space="0" w:color="auto"/>
            </w:tcBorders>
            <w:shd w:val="clear" w:color="auto" w:fill="17365D"/>
          </w:tcPr>
          <w:p w14:paraId="73031740" w14:textId="77777777" w:rsidR="00587E6E" w:rsidRDefault="00587E6E" w:rsidP="00BD2AE1">
            <w:pPr>
              <w:rPr>
                <w:b/>
              </w:rPr>
            </w:pPr>
            <w:r>
              <w:rPr>
                <w:b/>
              </w:rPr>
              <w:t>Comments</w:t>
            </w:r>
          </w:p>
        </w:tc>
      </w:tr>
      <w:tr w:rsidR="00A229FF" w14:paraId="101F3CE5" w14:textId="77777777" w:rsidTr="701D1EDC">
        <w:tc>
          <w:tcPr>
            <w:tcW w:w="851" w:type="dxa"/>
            <w:shd w:val="clear" w:color="auto" w:fill="auto"/>
          </w:tcPr>
          <w:p w14:paraId="090E75F2" w14:textId="77777777" w:rsidR="00587E6E" w:rsidRPr="00016305" w:rsidRDefault="00587E6E" w:rsidP="00BD2AE1">
            <w:pPr>
              <w:rPr>
                <w:sz w:val="20"/>
                <w:szCs w:val="20"/>
              </w:rPr>
            </w:pPr>
            <w:r w:rsidRPr="00016305">
              <w:rPr>
                <w:sz w:val="20"/>
                <w:szCs w:val="20"/>
              </w:rPr>
              <w:t>1.</w:t>
            </w:r>
          </w:p>
        </w:tc>
        <w:tc>
          <w:tcPr>
            <w:tcW w:w="2693" w:type="dxa"/>
            <w:shd w:val="clear" w:color="auto" w:fill="auto"/>
          </w:tcPr>
          <w:p w14:paraId="682D9410" w14:textId="77777777" w:rsidR="00587E6E" w:rsidRDefault="00587E6E" w:rsidP="00BD2AE1">
            <w:pPr>
              <w:rPr>
                <w:sz w:val="20"/>
                <w:szCs w:val="20"/>
                <w:lang w:val="en-US"/>
              </w:rPr>
            </w:pPr>
            <w:r>
              <w:rPr>
                <w:sz w:val="20"/>
                <w:szCs w:val="20"/>
                <w:lang w:val="en-US"/>
              </w:rPr>
              <w:t>Recovery of a combined total 10</w:t>
            </w:r>
            <w:r w:rsidRPr="00016305">
              <w:rPr>
                <w:sz w:val="20"/>
                <w:szCs w:val="20"/>
                <w:lang w:val="en-US"/>
              </w:rPr>
              <w:t xml:space="preserve"> social housing units subject to fraud and misuse</w:t>
            </w:r>
            <w:r>
              <w:rPr>
                <w:sz w:val="20"/>
                <w:szCs w:val="20"/>
                <w:lang w:val="en-US"/>
              </w:rPr>
              <w:t xml:space="preserve"> and the disruption / interception of fraudulent Right to Buy applications </w:t>
            </w:r>
          </w:p>
          <w:p w14:paraId="5527BC0A" w14:textId="5292E37A" w:rsidR="00454C92" w:rsidRPr="00016305" w:rsidRDefault="00454C92" w:rsidP="00BD2AE1">
            <w:pPr>
              <w:rPr>
                <w:sz w:val="20"/>
                <w:szCs w:val="20"/>
                <w:lang w:val="en-US"/>
              </w:rPr>
            </w:pPr>
          </w:p>
        </w:tc>
        <w:tc>
          <w:tcPr>
            <w:tcW w:w="1134" w:type="dxa"/>
            <w:shd w:val="clear" w:color="auto" w:fill="FFFFFF" w:themeFill="background1"/>
          </w:tcPr>
          <w:p w14:paraId="0AA8D52B" w14:textId="57A572E6" w:rsidR="00587E6E" w:rsidRPr="00016305" w:rsidRDefault="003514D6" w:rsidP="00BD2AE1">
            <w:pPr>
              <w:rPr>
                <w:sz w:val="20"/>
                <w:szCs w:val="20"/>
              </w:rPr>
            </w:pPr>
            <w:r>
              <w:rPr>
                <w:sz w:val="20"/>
                <w:szCs w:val="20"/>
              </w:rPr>
              <w:t>10</w:t>
            </w:r>
          </w:p>
        </w:tc>
        <w:tc>
          <w:tcPr>
            <w:tcW w:w="1163" w:type="dxa"/>
            <w:shd w:val="clear" w:color="auto" w:fill="FFFFFF" w:themeFill="background1"/>
          </w:tcPr>
          <w:p w14:paraId="0A069BD4" w14:textId="7D331C33" w:rsidR="00587E6E" w:rsidRPr="00016305" w:rsidRDefault="008B2134" w:rsidP="00D93810">
            <w:pPr>
              <w:rPr>
                <w:sz w:val="20"/>
                <w:szCs w:val="20"/>
              </w:rPr>
            </w:pPr>
            <w:r>
              <w:rPr>
                <w:sz w:val="20"/>
                <w:szCs w:val="20"/>
              </w:rPr>
              <w:t>11</w:t>
            </w:r>
            <w:r w:rsidR="003514D6">
              <w:rPr>
                <w:sz w:val="20"/>
                <w:szCs w:val="20"/>
              </w:rPr>
              <w:t xml:space="preserve"> (</w:t>
            </w:r>
            <w:r>
              <w:rPr>
                <w:sz w:val="20"/>
                <w:szCs w:val="20"/>
              </w:rPr>
              <w:t>110</w:t>
            </w:r>
            <w:r w:rsidR="003514D6">
              <w:rPr>
                <w:sz w:val="20"/>
                <w:szCs w:val="20"/>
              </w:rPr>
              <w:t>%)</w:t>
            </w:r>
          </w:p>
        </w:tc>
        <w:tc>
          <w:tcPr>
            <w:tcW w:w="4366" w:type="dxa"/>
            <w:shd w:val="clear" w:color="auto" w:fill="FFFFFF" w:themeFill="background1"/>
          </w:tcPr>
          <w:p w14:paraId="3A94D940" w14:textId="3479519B" w:rsidR="00587E6E" w:rsidRPr="00592AAA" w:rsidRDefault="008B2134" w:rsidP="00BD2AE1">
            <w:pPr>
              <w:rPr>
                <w:b/>
                <w:sz w:val="20"/>
                <w:szCs w:val="20"/>
              </w:rPr>
            </w:pPr>
            <w:r w:rsidRPr="00592AAA">
              <w:rPr>
                <w:b/>
                <w:sz w:val="20"/>
                <w:szCs w:val="20"/>
              </w:rPr>
              <w:t>A</w:t>
            </w:r>
            <w:r w:rsidR="00FF5536" w:rsidRPr="00592AAA">
              <w:rPr>
                <w:b/>
                <w:sz w:val="20"/>
                <w:szCs w:val="20"/>
              </w:rPr>
              <w:t>chiev</w:t>
            </w:r>
            <w:r w:rsidR="003514D6" w:rsidRPr="00592AAA">
              <w:rPr>
                <w:b/>
                <w:sz w:val="20"/>
                <w:szCs w:val="20"/>
              </w:rPr>
              <w:t>ed</w:t>
            </w:r>
          </w:p>
          <w:p w14:paraId="7B5F3FCB" w14:textId="564C8295" w:rsidR="00587E6E" w:rsidRPr="00592AAA" w:rsidRDefault="0018445F" w:rsidP="00BD2AE1">
            <w:pPr>
              <w:rPr>
                <w:sz w:val="20"/>
                <w:szCs w:val="20"/>
              </w:rPr>
            </w:pPr>
            <w:r w:rsidRPr="00592AAA">
              <w:rPr>
                <w:sz w:val="20"/>
                <w:szCs w:val="20"/>
              </w:rPr>
              <w:t>6</w:t>
            </w:r>
            <w:r w:rsidR="00587E6E" w:rsidRPr="00592AAA">
              <w:rPr>
                <w:sz w:val="20"/>
                <w:szCs w:val="20"/>
              </w:rPr>
              <w:t xml:space="preserve"> Right to Buy applications </w:t>
            </w:r>
            <w:r w:rsidR="003514D6" w:rsidRPr="00592AAA">
              <w:rPr>
                <w:sz w:val="20"/>
                <w:szCs w:val="20"/>
              </w:rPr>
              <w:t>were</w:t>
            </w:r>
            <w:r w:rsidR="008D5472" w:rsidRPr="00592AAA">
              <w:rPr>
                <w:sz w:val="20"/>
                <w:szCs w:val="20"/>
              </w:rPr>
              <w:t xml:space="preserve"> d</w:t>
            </w:r>
            <w:r w:rsidR="000E5FA7">
              <w:rPr>
                <w:sz w:val="20"/>
                <w:szCs w:val="20"/>
              </w:rPr>
              <w:t>eclined</w:t>
            </w:r>
            <w:r w:rsidR="008D5472" w:rsidRPr="00592AAA">
              <w:rPr>
                <w:sz w:val="20"/>
                <w:szCs w:val="20"/>
              </w:rPr>
              <w:t>/</w:t>
            </w:r>
            <w:r w:rsidR="003514D6" w:rsidRPr="00592AAA">
              <w:rPr>
                <w:sz w:val="20"/>
                <w:szCs w:val="20"/>
              </w:rPr>
              <w:t xml:space="preserve"> </w:t>
            </w:r>
            <w:r w:rsidR="00587E6E" w:rsidRPr="00592AAA">
              <w:rPr>
                <w:sz w:val="20"/>
                <w:szCs w:val="20"/>
              </w:rPr>
              <w:t>intercepted</w:t>
            </w:r>
            <w:r w:rsidR="003514D6" w:rsidRPr="00592AAA">
              <w:rPr>
                <w:sz w:val="20"/>
                <w:szCs w:val="20"/>
              </w:rPr>
              <w:t xml:space="preserve"> and </w:t>
            </w:r>
            <w:r w:rsidRPr="00592AAA">
              <w:rPr>
                <w:sz w:val="20"/>
                <w:szCs w:val="20"/>
              </w:rPr>
              <w:t>5</w:t>
            </w:r>
            <w:r w:rsidR="003514D6" w:rsidRPr="00592AAA">
              <w:rPr>
                <w:sz w:val="20"/>
                <w:szCs w:val="20"/>
              </w:rPr>
              <w:t xml:space="preserve"> housing tenancies recovered suspected of non</w:t>
            </w:r>
            <w:r w:rsidR="008D5472" w:rsidRPr="00592AAA">
              <w:rPr>
                <w:sz w:val="20"/>
                <w:szCs w:val="20"/>
              </w:rPr>
              <w:t>-</w:t>
            </w:r>
            <w:r w:rsidR="003514D6" w:rsidRPr="00592AAA">
              <w:rPr>
                <w:sz w:val="20"/>
                <w:szCs w:val="20"/>
              </w:rPr>
              <w:t>occupation</w:t>
            </w:r>
            <w:r w:rsidR="008D5472" w:rsidRPr="00592AAA">
              <w:rPr>
                <w:sz w:val="20"/>
                <w:szCs w:val="20"/>
              </w:rPr>
              <w:t xml:space="preserve"> </w:t>
            </w:r>
            <w:r w:rsidR="003514D6" w:rsidRPr="00592AAA">
              <w:rPr>
                <w:sz w:val="20"/>
                <w:szCs w:val="20"/>
              </w:rPr>
              <w:t>/misuse</w:t>
            </w:r>
            <w:r w:rsidR="00587E6E" w:rsidRPr="00592AAA">
              <w:rPr>
                <w:sz w:val="20"/>
                <w:szCs w:val="20"/>
              </w:rPr>
              <w:t>.</w:t>
            </w:r>
            <w:r w:rsidR="00F07BEE" w:rsidRPr="00592AAA">
              <w:rPr>
                <w:sz w:val="20"/>
                <w:szCs w:val="20"/>
              </w:rPr>
              <w:t xml:space="preserve">  </w:t>
            </w:r>
          </w:p>
        </w:tc>
      </w:tr>
      <w:tr w:rsidR="00A229FF" w14:paraId="091F4F57" w14:textId="77777777" w:rsidTr="701D1EDC">
        <w:tc>
          <w:tcPr>
            <w:tcW w:w="851" w:type="dxa"/>
            <w:shd w:val="clear" w:color="auto" w:fill="auto"/>
          </w:tcPr>
          <w:p w14:paraId="196FD145" w14:textId="77777777" w:rsidR="00587E6E" w:rsidRPr="00016305" w:rsidRDefault="00587E6E" w:rsidP="00BD2AE1">
            <w:pPr>
              <w:rPr>
                <w:sz w:val="20"/>
                <w:szCs w:val="20"/>
              </w:rPr>
            </w:pPr>
            <w:r w:rsidRPr="00016305">
              <w:rPr>
                <w:sz w:val="20"/>
                <w:szCs w:val="20"/>
              </w:rPr>
              <w:t>2.</w:t>
            </w:r>
          </w:p>
        </w:tc>
        <w:tc>
          <w:tcPr>
            <w:tcW w:w="2693" w:type="dxa"/>
            <w:shd w:val="clear" w:color="auto" w:fill="auto"/>
          </w:tcPr>
          <w:p w14:paraId="71BC00C1" w14:textId="77777777" w:rsidR="00587E6E" w:rsidRPr="00016305" w:rsidRDefault="00587E6E" w:rsidP="0066202C">
            <w:pPr>
              <w:rPr>
                <w:sz w:val="20"/>
                <w:szCs w:val="20"/>
              </w:rPr>
            </w:pPr>
            <w:r w:rsidRPr="00016305">
              <w:rPr>
                <w:sz w:val="20"/>
                <w:szCs w:val="20"/>
              </w:rPr>
              <w:t>Fraud validation checks undertaken on Right to Buy applications referred to the CAFT at offer stage and before completion</w:t>
            </w:r>
          </w:p>
          <w:p w14:paraId="5475F143" w14:textId="77777777" w:rsidR="00587E6E" w:rsidRPr="00016305" w:rsidRDefault="00587E6E" w:rsidP="0066202C">
            <w:pPr>
              <w:rPr>
                <w:sz w:val="20"/>
                <w:szCs w:val="20"/>
              </w:rPr>
            </w:pPr>
          </w:p>
        </w:tc>
        <w:tc>
          <w:tcPr>
            <w:tcW w:w="1134" w:type="dxa"/>
            <w:shd w:val="clear" w:color="auto" w:fill="auto"/>
          </w:tcPr>
          <w:p w14:paraId="4BB568A3" w14:textId="77777777" w:rsidR="00587E6E" w:rsidRPr="00016305" w:rsidRDefault="00587E6E" w:rsidP="00BD2AE1">
            <w:pPr>
              <w:rPr>
                <w:sz w:val="20"/>
                <w:szCs w:val="20"/>
              </w:rPr>
            </w:pPr>
            <w:r w:rsidRPr="00016305">
              <w:rPr>
                <w:sz w:val="20"/>
                <w:szCs w:val="20"/>
              </w:rPr>
              <w:t>90%</w:t>
            </w:r>
          </w:p>
        </w:tc>
        <w:tc>
          <w:tcPr>
            <w:tcW w:w="1163" w:type="dxa"/>
            <w:shd w:val="clear" w:color="auto" w:fill="FFFFFF" w:themeFill="background1"/>
          </w:tcPr>
          <w:p w14:paraId="097C1221" w14:textId="73D23AF1" w:rsidR="00587E6E" w:rsidRPr="00016305" w:rsidRDefault="00587E6E" w:rsidP="00D93810">
            <w:pPr>
              <w:rPr>
                <w:sz w:val="20"/>
                <w:szCs w:val="20"/>
              </w:rPr>
            </w:pPr>
            <w:r w:rsidRPr="00016305">
              <w:rPr>
                <w:sz w:val="20"/>
                <w:szCs w:val="20"/>
              </w:rPr>
              <w:t>100%</w:t>
            </w:r>
            <w:r>
              <w:rPr>
                <w:sz w:val="20"/>
                <w:szCs w:val="20"/>
              </w:rPr>
              <w:t xml:space="preserve"> (</w:t>
            </w:r>
            <w:r w:rsidR="00796B4C">
              <w:rPr>
                <w:sz w:val="20"/>
                <w:szCs w:val="20"/>
              </w:rPr>
              <w:t>19</w:t>
            </w:r>
            <w:r w:rsidR="003514D6">
              <w:rPr>
                <w:sz w:val="20"/>
                <w:szCs w:val="20"/>
              </w:rPr>
              <w:t>/</w:t>
            </w:r>
            <w:r w:rsidR="00796B4C">
              <w:rPr>
                <w:sz w:val="20"/>
                <w:szCs w:val="20"/>
              </w:rPr>
              <w:t>19</w:t>
            </w:r>
            <w:r w:rsidR="003514D6">
              <w:rPr>
                <w:sz w:val="20"/>
                <w:szCs w:val="20"/>
              </w:rPr>
              <w:t>)</w:t>
            </w:r>
            <w:r w:rsidRPr="00016305">
              <w:rPr>
                <w:sz w:val="20"/>
                <w:szCs w:val="20"/>
              </w:rPr>
              <w:t xml:space="preserve"> </w:t>
            </w:r>
          </w:p>
        </w:tc>
        <w:tc>
          <w:tcPr>
            <w:tcW w:w="4366" w:type="dxa"/>
            <w:shd w:val="clear" w:color="auto" w:fill="FFFFFF" w:themeFill="background1"/>
          </w:tcPr>
          <w:p w14:paraId="77D03874" w14:textId="4A7CE2CF" w:rsidR="00587E6E" w:rsidRPr="00592AAA" w:rsidRDefault="00587E6E" w:rsidP="00BD2AE1">
            <w:pPr>
              <w:rPr>
                <w:b/>
                <w:sz w:val="20"/>
                <w:szCs w:val="20"/>
              </w:rPr>
            </w:pPr>
            <w:r w:rsidRPr="00592AAA">
              <w:rPr>
                <w:b/>
                <w:sz w:val="20"/>
                <w:szCs w:val="20"/>
              </w:rPr>
              <w:t>Achiev</w:t>
            </w:r>
            <w:r w:rsidR="003514D6" w:rsidRPr="00592AAA">
              <w:rPr>
                <w:b/>
                <w:sz w:val="20"/>
                <w:szCs w:val="20"/>
              </w:rPr>
              <w:t>ed</w:t>
            </w:r>
            <w:r w:rsidRPr="00592AAA">
              <w:rPr>
                <w:b/>
                <w:sz w:val="20"/>
                <w:szCs w:val="20"/>
              </w:rPr>
              <w:t xml:space="preserve"> </w:t>
            </w:r>
          </w:p>
          <w:p w14:paraId="364FE231" w14:textId="78BB5C31" w:rsidR="00587E6E" w:rsidRPr="00592AAA" w:rsidRDefault="00587E6E" w:rsidP="00BD2AE1">
            <w:pPr>
              <w:rPr>
                <w:sz w:val="20"/>
                <w:szCs w:val="20"/>
              </w:rPr>
            </w:pPr>
            <w:r w:rsidRPr="00592AAA">
              <w:rPr>
                <w:sz w:val="20"/>
                <w:szCs w:val="20"/>
              </w:rPr>
              <w:t xml:space="preserve">Of the </w:t>
            </w:r>
            <w:r w:rsidR="00796B4C" w:rsidRPr="00592AAA">
              <w:rPr>
                <w:sz w:val="20"/>
                <w:szCs w:val="20"/>
              </w:rPr>
              <w:t>19</w:t>
            </w:r>
            <w:r w:rsidRPr="00592AAA">
              <w:rPr>
                <w:sz w:val="20"/>
                <w:szCs w:val="20"/>
              </w:rPr>
              <w:t xml:space="preserve"> Right to Buy applications received by the team during in the year, all </w:t>
            </w:r>
            <w:r w:rsidR="00796B4C" w:rsidRPr="00592AAA">
              <w:rPr>
                <w:sz w:val="20"/>
                <w:szCs w:val="20"/>
              </w:rPr>
              <w:t>19</w:t>
            </w:r>
            <w:r w:rsidRPr="00592AAA">
              <w:rPr>
                <w:sz w:val="20"/>
                <w:szCs w:val="20"/>
              </w:rPr>
              <w:t xml:space="preserve"> (100%) had anti money laundering </w:t>
            </w:r>
            <w:r w:rsidR="008B2134" w:rsidRPr="00592AAA">
              <w:rPr>
                <w:sz w:val="20"/>
                <w:szCs w:val="20"/>
              </w:rPr>
              <w:t xml:space="preserve">and occupancy </w:t>
            </w:r>
            <w:r w:rsidRPr="00592AAA">
              <w:rPr>
                <w:sz w:val="20"/>
                <w:szCs w:val="20"/>
              </w:rPr>
              <w:t>checks carried out before purchase or were in progress before a decision made to accept or deny the purchase.</w:t>
            </w:r>
          </w:p>
          <w:p w14:paraId="0A12AA63" w14:textId="5A602A9E" w:rsidR="007A41C8" w:rsidRPr="00592AAA" w:rsidRDefault="007A41C8" w:rsidP="00BD2AE1">
            <w:pPr>
              <w:rPr>
                <w:sz w:val="20"/>
                <w:szCs w:val="20"/>
              </w:rPr>
            </w:pPr>
          </w:p>
        </w:tc>
      </w:tr>
      <w:tr w:rsidR="00A229FF" w14:paraId="52785CC0" w14:textId="77777777" w:rsidTr="701D1EDC">
        <w:trPr>
          <w:trHeight w:val="793"/>
        </w:trPr>
        <w:tc>
          <w:tcPr>
            <w:tcW w:w="851" w:type="dxa"/>
            <w:shd w:val="clear" w:color="auto" w:fill="auto"/>
          </w:tcPr>
          <w:p w14:paraId="11337900" w14:textId="77777777" w:rsidR="00587E6E" w:rsidRPr="00016305" w:rsidRDefault="00587E6E" w:rsidP="00BD2AE1">
            <w:pPr>
              <w:rPr>
                <w:sz w:val="20"/>
                <w:szCs w:val="20"/>
              </w:rPr>
            </w:pPr>
            <w:r w:rsidRPr="00016305">
              <w:rPr>
                <w:sz w:val="20"/>
                <w:szCs w:val="20"/>
              </w:rPr>
              <w:t>3.</w:t>
            </w:r>
          </w:p>
        </w:tc>
        <w:tc>
          <w:tcPr>
            <w:tcW w:w="2693" w:type="dxa"/>
            <w:shd w:val="clear" w:color="auto" w:fill="auto"/>
          </w:tcPr>
          <w:p w14:paraId="7EB5B7E8" w14:textId="77777777" w:rsidR="00587E6E" w:rsidRPr="00016305" w:rsidRDefault="00587E6E" w:rsidP="00BD2AE1">
            <w:pPr>
              <w:rPr>
                <w:sz w:val="20"/>
                <w:szCs w:val="20"/>
              </w:rPr>
            </w:pPr>
            <w:r w:rsidRPr="00016305">
              <w:rPr>
                <w:sz w:val="20"/>
                <w:szCs w:val="20"/>
              </w:rPr>
              <w:t>Internal fraud and corruption referrals risk assessed and resources deployed in 5 working days</w:t>
            </w:r>
          </w:p>
        </w:tc>
        <w:tc>
          <w:tcPr>
            <w:tcW w:w="1134" w:type="dxa"/>
            <w:shd w:val="clear" w:color="auto" w:fill="auto"/>
          </w:tcPr>
          <w:p w14:paraId="1C5D475B" w14:textId="1AE521AC" w:rsidR="00587E6E" w:rsidRPr="00016305" w:rsidRDefault="00587E6E" w:rsidP="00BD2AE1">
            <w:pPr>
              <w:rPr>
                <w:sz w:val="20"/>
                <w:szCs w:val="20"/>
              </w:rPr>
            </w:pPr>
            <w:r>
              <w:rPr>
                <w:sz w:val="20"/>
                <w:szCs w:val="20"/>
              </w:rPr>
              <w:t>8</w:t>
            </w:r>
            <w:r w:rsidR="00EF3648">
              <w:rPr>
                <w:sz w:val="20"/>
                <w:szCs w:val="20"/>
              </w:rPr>
              <w:t>5</w:t>
            </w:r>
            <w:r w:rsidRPr="00016305">
              <w:rPr>
                <w:sz w:val="20"/>
                <w:szCs w:val="20"/>
              </w:rPr>
              <w:t>%</w:t>
            </w:r>
          </w:p>
        </w:tc>
        <w:tc>
          <w:tcPr>
            <w:tcW w:w="1163" w:type="dxa"/>
            <w:shd w:val="clear" w:color="auto" w:fill="FFFFFF" w:themeFill="background1"/>
          </w:tcPr>
          <w:p w14:paraId="41871C24" w14:textId="32414735" w:rsidR="00587E6E" w:rsidRPr="00016305" w:rsidRDefault="00587E6E" w:rsidP="007546A6">
            <w:pPr>
              <w:rPr>
                <w:sz w:val="20"/>
                <w:szCs w:val="20"/>
              </w:rPr>
            </w:pPr>
            <w:r w:rsidRPr="00016305">
              <w:rPr>
                <w:sz w:val="20"/>
                <w:szCs w:val="20"/>
              </w:rPr>
              <w:t xml:space="preserve"> </w:t>
            </w:r>
            <w:r w:rsidR="00FA51AC">
              <w:rPr>
                <w:sz w:val="20"/>
                <w:szCs w:val="20"/>
              </w:rPr>
              <w:t>100</w:t>
            </w:r>
            <w:r w:rsidR="003514D6">
              <w:rPr>
                <w:sz w:val="20"/>
                <w:szCs w:val="20"/>
              </w:rPr>
              <w:t>% (</w:t>
            </w:r>
            <w:r w:rsidR="00A2109D">
              <w:rPr>
                <w:sz w:val="20"/>
                <w:szCs w:val="20"/>
              </w:rPr>
              <w:t>1</w:t>
            </w:r>
            <w:r w:rsidR="00FA51AC">
              <w:rPr>
                <w:sz w:val="20"/>
                <w:szCs w:val="20"/>
              </w:rPr>
              <w:t>2</w:t>
            </w:r>
            <w:r w:rsidR="00A2109D">
              <w:rPr>
                <w:sz w:val="20"/>
                <w:szCs w:val="20"/>
              </w:rPr>
              <w:t>/12</w:t>
            </w:r>
            <w:r w:rsidR="003514D6">
              <w:rPr>
                <w:sz w:val="20"/>
                <w:szCs w:val="20"/>
              </w:rPr>
              <w:t>)</w:t>
            </w:r>
          </w:p>
        </w:tc>
        <w:tc>
          <w:tcPr>
            <w:tcW w:w="4366" w:type="dxa"/>
            <w:shd w:val="clear" w:color="auto" w:fill="FFFFFF" w:themeFill="background1"/>
          </w:tcPr>
          <w:p w14:paraId="774F5FC0" w14:textId="4C37B693" w:rsidR="00587E6E" w:rsidRPr="00592AAA" w:rsidRDefault="006528F5" w:rsidP="00BD2AE1">
            <w:pPr>
              <w:rPr>
                <w:b/>
                <w:sz w:val="20"/>
                <w:szCs w:val="20"/>
              </w:rPr>
            </w:pPr>
            <w:r w:rsidRPr="00592AAA">
              <w:rPr>
                <w:b/>
                <w:sz w:val="20"/>
                <w:szCs w:val="20"/>
              </w:rPr>
              <w:t>A</w:t>
            </w:r>
            <w:r w:rsidR="003514D6" w:rsidRPr="00592AAA">
              <w:rPr>
                <w:b/>
                <w:sz w:val="20"/>
                <w:szCs w:val="20"/>
              </w:rPr>
              <w:t>chieved</w:t>
            </w:r>
          </w:p>
          <w:p w14:paraId="2926545C" w14:textId="1FFF3AE6" w:rsidR="007A41C8" w:rsidRPr="00592AAA" w:rsidRDefault="00587E6E" w:rsidP="00016305">
            <w:pPr>
              <w:rPr>
                <w:sz w:val="20"/>
                <w:szCs w:val="20"/>
              </w:rPr>
            </w:pPr>
            <w:r w:rsidRPr="00592AAA">
              <w:rPr>
                <w:sz w:val="20"/>
                <w:szCs w:val="20"/>
              </w:rPr>
              <w:t xml:space="preserve">Of the </w:t>
            </w:r>
            <w:r w:rsidR="00FB5343" w:rsidRPr="00592AAA">
              <w:rPr>
                <w:sz w:val="20"/>
                <w:szCs w:val="20"/>
              </w:rPr>
              <w:t>12</w:t>
            </w:r>
            <w:r w:rsidRPr="00592AAA">
              <w:rPr>
                <w:sz w:val="20"/>
                <w:szCs w:val="20"/>
              </w:rPr>
              <w:t xml:space="preserve"> internal fraud and corruption referrals received by the team, </w:t>
            </w:r>
            <w:r w:rsidR="006528F5" w:rsidRPr="00592AAA">
              <w:rPr>
                <w:sz w:val="20"/>
                <w:szCs w:val="20"/>
              </w:rPr>
              <w:t>1</w:t>
            </w:r>
            <w:r w:rsidR="00592AAA" w:rsidRPr="00592AAA">
              <w:rPr>
                <w:sz w:val="20"/>
                <w:szCs w:val="20"/>
              </w:rPr>
              <w:t>2</w:t>
            </w:r>
            <w:r w:rsidRPr="00592AAA">
              <w:rPr>
                <w:sz w:val="20"/>
                <w:szCs w:val="20"/>
              </w:rPr>
              <w:t xml:space="preserve"> (</w:t>
            </w:r>
            <w:r w:rsidR="00592AAA" w:rsidRPr="00592AAA">
              <w:rPr>
                <w:sz w:val="20"/>
                <w:szCs w:val="20"/>
              </w:rPr>
              <w:t>100</w:t>
            </w:r>
            <w:r w:rsidRPr="00592AAA">
              <w:rPr>
                <w:sz w:val="20"/>
                <w:szCs w:val="20"/>
              </w:rPr>
              <w:t>%) were risk assessed and resources deployed within 5 working days</w:t>
            </w:r>
            <w:r w:rsidR="006528F5" w:rsidRPr="00592AAA">
              <w:rPr>
                <w:sz w:val="20"/>
                <w:szCs w:val="20"/>
              </w:rPr>
              <w:t>.</w:t>
            </w:r>
          </w:p>
          <w:p w14:paraId="3B193E50" w14:textId="31A52FC5" w:rsidR="00587E6E" w:rsidRPr="00592AAA" w:rsidRDefault="003514D6" w:rsidP="00016305">
            <w:pPr>
              <w:rPr>
                <w:b/>
                <w:sz w:val="20"/>
                <w:szCs w:val="20"/>
              </w:rPr>
            </w:pPr>
            <w:r w:rsidRPr="00592AAA">
              <w:rPr>
                <w:sz w:val="20"/>
                <w:szCs w:val="20"/>
              </w:rPr>
              <w:t xml:space="preserve"> </w:t>
            </w:r>
          </w:p>
        </w:tc>
      </w:tr>
      <w:tr w:rsidR="00A229FF" w14:paraId="371B9103" w14:textId="77777777" w:rsidTr="701D1EDC">
        <w:trPr>
          <w:trHeight w:val="477"/>
        </w:trPr>
        <w:tc>
          <w:tcPr>
            <w:tcW w:w="851" w:type="dxa"/>
            <w:shd w:val="clear" w:color="auto" w:fill="auto"/>
          </w:tcPr>
          <w:p w14:paraId="6E8B1BD9" w14:textId="77777777" w:rsidR="00587E6E" w:rsidRPr="00016305" w:rsidRDefault="00587E6E" w:rsidP="00BD2AE1">
            <w:pPr>
              <w:rPr>
                <w:sz w:val="20"/>
                <w:szCs w:val="20"/>
              </w:rPr>
            </w:pPr>
            <w:r w:rsidRPr="00016305">
              <w:rPr>
                <w:sz w:val="20"/>
                <w:szCs w:val="20"/>
              </w:rPr>
              <w:t>4.</w:t>
            </w:r>
          </w:p>
        </w:tc>
        <w:tc>
          <w:tcPr>
            <w:tcW w:w="2693" w:type="dxa"/>
            <w:shd w:val="clear" w:color="auto" w:fill="auto"/>
          </w:tcPr>
          <w:p w14:paraId="69B83576" w14:textId="77777777" w:rsidR="00587E6E" w:rsidRPr="00016305" w:rsidRDefault="00587E6E" w:rsidP="0066202C">
            <w:pPr>
              <w:rPr>
                <w:sz w:val="20"/>
                <w:szCs w:val="20"/>
              </w:rPr>
            </w:pPr>
            <w:r w:rsidRPr="00016305">
              <w:rPr>
                <w:sz w:val="20"/>
                <w:szCs w:val="20"/>
              </w:rPr>
              <w:t>Fraud and corruption referrals risk assessed and resources deployed in 10 working days</w:t>
            </w:r>
          </w:p>
          <w:p w14:paraId="5AE7E3C8" w14:textId="77777777" w:rsidR="00587E6E" w:rsidRPr="00016305" w:rsidRDefault="00587E6E" w:rsidP="0066202C">
            <w:pPr>
              <w:rPr>
                <w:sz w:val="20"/>
                <w:szCs w:val="20"/>
              </w:rPr>
            </w:pPr>
          </w:p>
        </w:tc>
        <w:tc>
          <w:tcPr>
            <w:tcW w:w="1134" w:type="dxa"/>
            <w:shd w:val="clear" w:color="auto" w:fill="auto"/>
          </w:tcPr>
          <w:p w14:paraId="0D1A496C" w14:textId="173CCC53" w:rsidR="00587E6E" w:rsidRPr="00016305" w:rsidRDefault="00587E6E" w:rsidP="00BD2AE1">
            <w:pPr>
              <w:rPr>
                <w:sz w:val="20"/>
                <w:szCs w:val="20"/>
              </w:rPr>
            </w:pPr>
            <w:r w:rsidRPr="00016305">
              <w:rPr>
                <w:sz w:val="20"/>
                <w:szCs w:val="20"/>
              </w:rPr>
              <w:t>8</w:t>
            </w:r>
            <w:r w:rsidR="00EF3648">
              <w:rPr>
                <w:sz w:val="20"/>
                <w:szCs w:val="20"/>
              </w:rPr>
              <w:t>5</w:t>
            </w:r>
            <w:r w:rsidRPr="00016305">
              <w:rPr>
                <w:sz w:val="20"/>
                <w:szCs w:val="20"/>
              </w:rPr>
              <w:t>%</w:t>
            </w:r>
          </w:p>
        </w:tc>
        <w:tc>
          <w:tcPr>
            <w:tcW w:w="1163" w:type="dxa"/>
            <w:tcBorders>
              <w:bottom w:val="single" w:sz="4" w:space="0" w:color="auto"/>
            </w:tcBorders>
            <w:shd w:val="clear" w:color="auto" w:fill="FFFFFF" w:themeFill="background1"/>
          </w:tcPr>
          <w:p w14:paraId="447F7EF0" w14:textId="22BBB523" w:rsidR="00587E6E" w:rsidRPr="00016305" w:rsidRDefault="00FA51AC" w:rsidP="00D93810">
            <w:pPr>
              <w:rPr>
                <w:sz w:val="20"/>
                <w:szCs w:val="20"/>
              </w:rPr>
            </w:pPr>
            <w:r>
              <w:rPr>
                <w:sz w:val="20"/>
                <w:szCs w:val="20"/>
              </w:rPr>
              <w:t>99</w:t>
            </w:r>
            <w:r w:rsidR="00587E6E" w:rsidRPr="00016305">
              <w:rPr>
                <w:sz w:val="20"/>
                <w:szCs w:val="20"/>
              </w:rPr>
              <w:t xml:space="preserve">% </w:t>
            </w:r>
            <w:r w:rsidR="00587E6E">
              <w:rPr>
                <w:sz w:val="20"/>
                <w:szCs w:val="20"/>
              </w:rPr>
              <w:t>(</w:t>
            </w:r>
            <w:r w:rsidR="00325709">
              <w:rPr>
                <w:sz w:val="20"/>
                <w:szCs w:val="20"/>
              </w:rPr>
              <w:t>9</w:t>
            </w:r>
            <w:r w:rsidR="00592AAA">
              <w:rPr>
                <w:sz w:val="20"/>
                <w:szCs w:val="20"/>
              </w:rPr>
              <w:t>3</w:t>
            </w:r>
            <w:r w:rsidR="00325709">
              <w:rPr>
                <w:sz w:val="20"/>
                <w:szCs w:val="20"/>
              </w:rPr>
              <w:t>/9</w:t>
            </w:r>
            <w:r w:rsidR="00FB5343">
              <w:rPr>
                <w:sz w:val="20"/>
                <w:szCs w:val="20"/>
              </w:rPr>
              <w:t>4</w:t>
            </w:r>
            <w:r w:rsidR="00587E6E">
              <w:rPr>
                <w:sz w:val="20"/>
                <w:szCs w:val="20"/>
              </w:rPr>
              <w:t>)</w:t>
            </w:r>
          </w:p>
        </w:tc>
        <w:tc>
          <w:tcPr>
            <w:tcW w:w="4366" w:type="dxa"/>
            <w:tcBorders>
              <w:bottom w:val="single" w:sz="4" w:space="0" w:color="auto"/>
            </w:tcBorders>
            <w:shd w:val="clear" w:color="auto" w:fill="FFFFFF" w:themeFill="background1"/>
          </w:tcPr>
          <w:p w14:paraId="6A359AB2" w14:textId="6A44A2E5" w:rsidR="00587E6E" w:rsidRPr="00592AAA" w:rsidRDefault="00587E6E" w:rsidP="00BD2AE1">
            <w:pPr>
              <w:rPr>
                <w:b/>
                <w:sz w:val="20"/>
                <w:szCs w:val="20"/>
              </w:rPr>
            </w:pPr>
            <w:r w:rsidRPr="00592AAA">
              <w:rPr>
                <w:b/>
                <w:sz w:val="20"/>
                <w:szCs w:val="20"/>
              </w:rPr>
              <w:t>Achiev</w:t>
            </w:r>
            <w:r w:rsidR="003514D6" w:rsidRPr="00592AAA">
              <w:rPr>
                <w:b/>
                <w:sz w:val="20"/>
                <w:szCs w:val="20"/>
              </w:rPr>
              <w:t>ed</w:t>
            </w:r>
          </w:p>
          <w:p w14:paraId="257C92E1" w14:textId="6D74BD31" w:rsidR="00587E6E" w:rsidRPr="00592AAA" w:rsidRDefault="00587E6E" w:rsidP="00016305">
            <w:pPr>
              <w:rPr>
                <w:b/>
                <w:sz w:val="20"/>
                <w:szCs w:val="20"/>
              </w:rPr>
            </w:pPr>
            <w:r w:rsidRPr="00592AAA">
              <w:rPr>
                <w:sz w:val="20"/>
                <w:szCs w:val="20"/>
              </w:rPr>
              <w:t xml:space="preserve">Of the </w:t>
            </w:r>
            <w:r w:rsidR="00325709" w:rsidRPr="00592AAA">
              <w:rPr>
                <w:sz w:val="20"/>
                <w:szCs w:val="20"/>
              </w:rPr>
              <w:t>9</w:t>
            </w:r>
            <w:r w:rsidR="00FB5343" w:rsidRPr="00592AAA">
              <w:rPr>
                <w:sz w:val="20"/>
                <w:szCs w:val="20"/>
              </w:rPr>
              <w:t>4</w:t>
            </w:r>
            <w:r w:rsidRPr="00592AAA">
              <w:rPr>
                <w:sz w:val="20"/>
                <w:szCs w:val="20"/>
              </w:rPr>
              <w:t xml:space="preserve"> referrals received by the team during the year, </w:t>
            </w:r>
            <w:r w:rsidR="00454C92" w:rsidRPr="00592AAA">
              <w:rPr>
                <w:sz w:val="20"/>
                <w:szCs w:val="20"/>
              </w:rPr>
              <w:t>9</w:t>
            </w:r>
            <w:r w:rsidR="00592AAA" w:rsidRPr="00592AAA">
              <w:rPr>
                <w:sz w:val="20"/>
                <w:szCs w:val="20"/>
              </w:rPr>
              <w:t>3</w:t>
            </w:r>
            <w:r w:rsidRPr="00592AAA">
              <w:rPr>
                <w:sz w:val="20"/>
                <w:szCs w:val="20"/>
              </w:rPr>
              <w:t xml:space="preserve"> (</w:t>
            </w:r>
            <w:r w:rsidR="00592AAA" w:rsidRPr="00592AAA">
              <w:rPr>
                <w:sz w:val="20"/>
                <w:szCs w:val="20"/>
              </w:rPr>
              <w:t>99</w:t>
            </w:r>
            <w:r w:rsidRPr="00592AAA">
              <w:rPr>
                <w:sz w:val="20"/>
                <w:szCs w:val="20"/>
              </w:rPr>
              <w:t>%) were risk assessed and resources deployed within 10 working days.</w:t>
            </w:r>
          </w:p>
        </w:tc>
      </w:tr>
      <w:tr w:rsidR="00A229FF" w14:paraId="0D486CC8" w14:textId="77777777" w:rsidTr="701D1EDC">
        <w:trPr>
          <w:trHeight w:val="541"/>
        </w:trPr>
        <w:tc>
          <w:tcPr>
            <w:tcW w:w="851" w:type="dxa"/>
            <w:shd w:val="clear" w:color="auto" w:fill="auto"/>
          </w:tcPr>
          <w:p w14:paraId="379700AC" w14:textId="77777777" w:rsidR="00587E6E" w:rsidRPr="00016305" w:rsidRDefault="00587E6E" w:rsidP="00BD2AE1">
            <w:pPr>
              <w:rPr>
                <w:sz w:val="20"/>
                <w:szCs w:val="20"/>
              </w:rPr>
            </w:pPr>
            <w:r w:rsidRPr="00016305">
              <w:rPr>
                <w:sz w:val="20"/>
                <w:szCs w:val="20"/>
              </w:rPr>
              <w:t>5.</w:t>
            </w:r>
          </w:p>
        </w:tc>
        <w:tc>
          <w:tcPr>
            <w:tcW w:w="2693" w:type="dxa"/>
            <w:shd w:val="clear" w:color="auto" w:fill="auto"/>
          </w:tcPr>
          <w:p w14:paraId="3701A57F" w14:textId="77777777" w:rsidR="00587E6E" w:rsidRPr="00605A83" w:rsidRDefault="00587E6E" w:rsidP="0066202C">
            <w:pPr>
              <w:rPr>
                <w:sz w:val="20"/>
                <w:szCs w:val="20"/>
              </w:rPr>
            </w:pPr>
            <w:r w:rsidRPr="00605A83">
              <w:rPr>
                <w:sz w:val="20"/>
                <w:szCs w:val="20"/>
              </w:rPr>
              <w:t xml:space="preserve">Fraud risk recommendations agreed for implementation </w:t>
            </w:r>
          </w:p>
          <w:p w14:paraId="5536B8E6" w14:textId="77777777" w:rsidR="00587E6E" w:rsidRPr="00605A83" w:rsidRDefault="00587E6E" w:rsidP="0066202C">
            <w:pPr>
              <w:rPr>
                <w:sz w:val="20"/>
                <w:szCs w:val="20"/>
              </w:rPr>
            </w:pPr>
          </w:p>
        </w:tc>
        <w:tc>
          <w:tcPr>
            <w:tcW w:w="1134" w:type="dxa"/>
            <w:shd w:val="clear" w:color="auto" w:fill="auto"/>
          </w:tcPr>
          <w:p w14:paraId="2F603F80" w14:textId="02BA01B5" w:rsidR="00587E6E" w:rsidRPr="00605A83" w:rsidRDefault="00587E6E" w:rsidP="00BD2AE1">
            <w:pPr>
              <w:rPr>
                <w:sz w:val="20"/>
                <w:szCs w:val="20"/>
              </w:rPr>
            </w:pPr>
            <w:r w:rsidRPr="00605A83">
              <w:rPr>
                <w:sz w:val="20"/>
                <w:szCs w:val="20"/>
              </w:rPr>
              <w:t>8</w:t>
            </w:r>
            <w:r w:rsidR="00EF3648" w:rsidRPr="00605A83">
              <w:rPr>
                <w:sz w:val="20"/>
                <w:szCs w:val="20"/>
              </w:rPr>
              <w:t>5</w:t>
            </w:r>
            <w:r w:rsidRPr="00605A83">
              <w:rPr>
                <w:sz w:val="20"/>
                <w:szCs w:val="20"/>
              </w:rPr>
              <w:t>%</w:t>
            </w:r>
          </w:p>
        </w:tc>
        <w:tc>
          <w:tcPr>
            <w:tcW w:w="1163" w:type="dxa"/>
            <w:tcBorders>
              <w:bottom w:val="single" w:sz="4" w:space="0" w:color="auto"/>
            </w:tcBorders>
            <w:shd w:val="clear" w:color="auto" w:fill="FFFFFF" w:themeFill="background1"/>
          </w:tcPr>
          <w:p w14:paraId="1A70D337" w14:textId="6829CA73" w:rsidR="00587E6E" w:rsidRPr="005C33F9" w:rsidRDefault="00B4393A" w:rsidP="007320CB">
            <w:pPr>
              <w:rPr>
                <w:sz w:val="20"/>
                <w:szCs w:val="20"/>
              </w:rPr>
            </w:pPr>
            <w:r w:rsidRPr="005C33F9">
              <w:rPr>
                <w:sz w:val="20"/>
                <w:szCs w:val="20"/>
              </w:rPr>
              <w:t>95</w:t>
            </w:r>
            <w:r w:rsidR="00587E6E" w:rsidRPr="005C33F9">
              <w:rPr>
                <w:sz w:val="20"/>
                <w:szCs w:val="20"/>
              </w:rPr>
              <w:t>% (</w:t>
            </w:r>
            <w:r w:rsidR="00E44277" w:rsidRPr="005C33F9">
              <w:rPr>
                <w:sz w:val="20"/>
                <w:szCs w:val="20"/>
              </w:rPr>
              <w:t>20/2</w:t>
            </w:r>
            <w:r w:rsidR="00336DFB" w:rsidRPr="005C33F9">
              <w:rPr>
                <w:sz w:val="20"/>
                <w:szCs w:val="20"/>
              </w:rPr>
              <w:t>1</w:t>
            </w:r>
            <w:r w:rsidR="00587E6E" w:rsidRPr="005C33F9">
              <w:rPr>
                <w:sz w:val="20"/>
                <w:szCs w:val="20"/>
              </w:rPr>
              <w:t>)</w:t>
            </w:r>
          </w:p>
          <w:p w14:paraId="7563A3EB" w14:textId="77777777" w:rsidR="00587E6E" w:rsidRPr="005C33F9" w:rsidRDefault="00587E6E" w:rsidP="00BD2AE1">
            <w:pPr>
              <w:rPr>
                <w:sz w:val="20"/>
                <w:szCs w:val="20"/>
              </w:rPr>
            </w:pPr>
          </w:p>
        </w:tc>
        <w:tc>
          <w:tcPr>
            <w:tcW w:w="4366" w:type="dxa"/>
            <w:tcBorders>
              <w:bottom w:val="single" w:sz="4" w:space="0" w:color="auto"/>
            </w:tcBorders>
            <w:shd w:val="clear" w:color="auto" w:fill="FFFFFF" w:themeFill="background1"/>
          </w:tcPr>
          <w:p w14:paraId="7B930FCE" w14:textId="77777777" w:rsidR="00336DFB" w:rsidRPr="005C33F9" w:rsidRDefault="00336DFB" w:rsidP="007320CB">
            <w:pPr>
              <w:rPr>
                <w:b/>
                <w:bCs/>
                <w:sz w:val="20"/>
                <w:szCs w:val="20"/>
              </w:rPr>
            </w:pPr>
            <w:r w:rsidRPr="005C33F9">
              <w:rPr>
                <w:b/>
                <w:bCs/>
                <w:sz w:val="20"/>
                <w:szCs w:val="20"/>
              </w:rPr>
              <w:t xml:space="preserve">Achieved </w:t>
            </w:r>
          </w:p>
          <w:p w14:paraId="2EC74A60" w14:textId="5A55F066" w:rsidR="00587E6E" w:rsidRPr="005C33F9" w:rsidRDefault="00587E6E" w:rsidP="007320CB">
            <w:pPr>
              <w:rPr>
                <w:sz w:val="20"/>
                <w:szCs w:val="20"/>
              </w:rPr>
            </w:pPr>
            <w:r w:rsidRPr="005C33F9">
              <w:rPr>
                <w:sz w:val="20"/>
                <w:szCs w:val="20"/>
              </w:rPr>
              <w:t xml:space="preserve">Of the </w:t>
            </w:r>
            <w:r w:rsidR="00E44277" w:rsidRPr="005C33F9">
              <w:rPr>
                <w:sz w:val="20"/>
                <w:szCs w:val="20"/>
              </w:rPr>
              <w:t>2</w:t>
            </w:r>
            <w:r w:rsidR="00336DFB" w:rsidRPr="005C33F9">
              <w:rPr>
                <w:sz w:val="20"/>
                <w:szCs w:val="20"/>
              </w:rPr>
              <w:t>1</w:t>
            </w:r>
            <w:r w:rsidR="00E44277" w:rsidRPr="005C33F9">
              <w:rPr>
                <w:sz w:val="20"/>
                <w:szCs w:val="20"/>
              </w:rPr>
              <w:t xml:space="preserve"> </w:t>
            </w:r>
            <w:r w:rsidRPr="005C33F9">
              <w:rPr>
                <w:sz w:val="20"/>
                <w:szCs w:val="20"/>
              </w:rPr>
              <w:t xml:space="preserve">fraud risk recommendations made by the team in reports and briefing notes, </w:t>
            </w:r>
            <w:r w:rsidR="003C757D" w:rsidRPr="005C33F9">
              <w:rPr>
                <w:sz w:val="20"/>
                <w:szCs w:val="20"/>
              </w:rPr>
              <w:t>20</w:t>
            </w:r>
            <w:r w:rsidRPr="005C33F9">
              <w:rPr>
                <w:sz w:val="20"/>
                <w:szCs w:val="20"/>
              </w:rPr>
              <w:t xml:space="preserve"> (</w:t>
            </w:r>
            <w:r w:rsidR="00336DFB" w:rsidRPr="005C33F9">
              <w:rPr>
                <w:sz w:val="20"/>
                <w:szCs w:val="20"/>
              </w:rPr>
              <w:t>95</w:t>
            </w:r>
            <w:r w:rsidRPr="005C33F9">
              <w:rPr>
                <w:sz w:val="20"/>
                <w:szCs w:val="20"/>
              </w:rPr>
              <w:t>%) were agreed for implementation by management</w:t>
            </w:r>
            <w:r w:rsidR="00935475" w:rsidRPr="005C33F9">
              <w:rPr>
                <w:sz w:val="20"/>
                <w:szCs w:val="20"/>
              </w:rPr>
              <w:t>.</w:t>
            </w:r>
          </w:p>
          <w:p w14:paraId="78F5EB15" w14:textId="3E7F2550" w:rsidR="007A41C8" w:rsidRPr="005C33F9" w:rsidRDefault="007A41C8" w:rsidP="007320CB">
            <w:pPr>
              <w:rPr>
                <w:b/>
                <w:sz w:val="20"/>
                <w:szCs w:val="20"/>
              </w:rPr>
            </w:pPr>
          </w:p>
        </w:tc>
      </w:tr>
    </w:tbl>
    <w:p w14:paraId="2E81FAB7" w14:textId="77777777" w:rsidR="00D93810" w:rsidRDefault="00D93810" w:rsidP="006E5133">
      <w:pPr>
        <w:ind w:firstLine="644"/>
        <w:rPr>
          <w:b/>
        </w:rPr>
      </w:pPr>
    </w:p>
    <w:p w14:paraId="4B7C11F3" w14:textId="77777777" w:rsidR="006D26DF" w:rsidRDefault="006D26DF" w:rsidP="00E97022"/>
    <w:p w14:paraId="5A05068D" w14:textId="640B5CC1" w:rsidR="00587E6E" w:rsidRDefault="00587E6E" w:rsidP="00E97022"/>
    <w:p w14:paraId="22F24177" w14:textId="42C6348B" w:rsidR="005B6965" w:rsidRDefault="005B6965" w:rsidP="00E97022"/>
    <w:p w14:paraId="48DA88D2" w14:textId="77777777" w:rsidR="005B6965" w:rsidRDefault="005B6965" w:rsidP="00E97022"/>
    <w:p w14:paraId="0DD923F8" w14:textId="77777777" w:rsidR="00587E6E" w:rsidRDefault="00587E6E" w:rsidP="00E97022"/>
    <w:p w14:paraId="5E45A547" w14:textId="77777777" w:rsidR="00587E6E" w:rsidRDefault="00587E6E" w:rsidP="00E97022"/>
    <w:p w14:paraId="30E279DF" w14:textId="77777777" w:rsidR="00587E6E" w:rsidRDefault="00587E6E" w:rsidP="00E97022"/>
    <w:p w14:paraId="7B6A3B1F" w14:textId="5345B2EB" w:rsidR="00587E6E" w:rsidRDefault="00587E6E" w:rsidP="00E97022"/>
    <w:p w14:paraId="33EDC03B" w14:textId="77777777" w:rsidR="00FF5536" w:rsidRDefault="00FF5536" w:rsidP="00E97022"/>
    <w:p w14:paraId="356B0FAB" w14:textId="77777777" w:rsidR="00587E6E" w:rsidRDefault="00587E6E" w:rsidP="00E97022"/>
    <w:p w14:paraId="6744F341" w14:textId="77777777" w:rsidR="009D080F" w:rsidRDefault="009D080F" w:rsidP="009E6E8E">
      <w:pPr>
        <w:shd w:val="clear" w:color="auto" w:fill="17365D"/>
        <w:ind w:left="-142"/>
        <w:rPr>
          <w:rFonts w:eastAsia="Calibri"/>
          <w:b/>
          <w:sz w:val="40"/>
          <w:szCs w:val="40"/>
        </w:rPr>
      </w:pPr>
    </w:p>
    <w:p w14:paraId="5B34E02D" w14:textId="77777777" w:rsidR="00C0282A" w:rsidRPr="009E6E8E" w:rsidRDefault="00C0282A" w:rsidP="005B6965">
      <w:pPr>
        <w:shd w:val="clear" w:color="auto" w:fill="17365D"/>
        <w:ind w:left="-142"/>
        <w:jc w:val="center"/>
        <w:rPr>
          <w:rFonts w:eastAsia="Calibri"/>
          <w:b/>
          <w:sz w:val="40"/>
          <w:szCs w:val="40"/>
        </w:rPr>
      </w:pPr>
      <w:r>
        <w:rPr>
          <w:rFonts w:eastAsia="Calibri"/>
          <w:b/>
          <w:sz w:val="40"/>
          <w:szCs w:val="40"/>
        </w:rPr>
        <w:t>Fraud re</w:t>
      </w:r>
      <w:r w:rsidR="00505743">
        <w:rPr>
          <w:rFonts w:eastAsia="Calibri"/>
          <w:b/>
          <w:sz w:val="40"/>
          <w:szCs w:val="40"/>
        </w:rPr>
        <w:t>ferrals, outputs</w:t>
      </w:r>
      <w:r w:rsidR="009E6E8E">
        <w:rPr>
          <w:rFonts w:eastAsia="Calibri"/>
          <w:b/>
          <w:sz w:val="40"/>
          <w:szCs w:val="40"/>
        </w:rPr>
        <w:t xml:space="preserve"> and savings summary</w:t>
      </w:r>
    </w:p>
    <w:tbl>
      <w:tblPr>
        <w:tblpPr w:leftFromText="180" w:rightFromText="180" w:vertAnchor="page" w:horzAnchor="margin" w:tblpY="22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200FB2" w14:paraId="5CF1F0E3" w14:textId="57FCA8AB" w:rsidTr="005B6965">
        <w:trPr>
          <w:trHeight w:val="699"/>
        </w:trPr>
        <w:tc>
          <w:tcPr>
            <w:tcW w:w="4957" w:type="dxa"/>
            <w:shd w:val="clear" w:color="auto" w:fill="D9D9D9"/>
          </w:tcPr>
          <w:p w14:paraId="1688F6D7" w14:textId="77777777" w:rsidR="00200FB2" w:rsidRPr="004E23DA" w:rsidRDefault="00200FB2" w:rsidP="005A5058">
            <w:pPr>
              <w:jc w:val="center"/>
              <w:rPr>
                <w:b/>
              </w:rPr>
            </w:pPr>
            <w:r w:rsidRPr="004E23DA">
              <w:rPr>
                <w:b/>
              </w:rPr>
              <w:t>Fraud Risk Area</w:t>
            </w:r>
          </w:p>
        </w:tc>
        <w:tc>
          <w:tcPr>
            <w:tcW w:w="4961" w:type="dxa"/>
            <w:shd w:val="clear" w:color="auto" w:fill="D9D9D9"/>
          </w:tcPr>
          <w:p w14:paraId="12DF8675" w14:textId="441C20F6" w:rsidR="00200FB2" w:rsidRDefault="00034572" w:rsidP="005A5058">
            <w:pPr>
              <w:jc w:val="center"/>
              <w:rPr>
                <w:b/>
              </w:rPr>
            </w:pPr>
            <w:r>
              <w:rPr>
                <w:b/>
              </w:rPr>
              <w:t>202</w:t>
            </w:r>
            <w:r w:rsidR="000D7D72">
              <w:rPr>
                <w:b/>
              </w:rPr>
              <w:t>2</w:t>
            </w:r>
            <w:r w:rsidR="00015AEF">
              <w:rPr>
                <w:b/>
              </w:rPr>
              <w:t>/</w:t>
            </w:r>
            <w:r>
              <w:rPr>
                <w:b/>
              </w:rPr>
              <w:t>2</w:t>
            </w:r>
            <w:r w:rsidR="000D7D72">
              <w:rPr>
                <w:b/>
              </w:rPr>
              <w:t>3</w:t>
            </w:r>
          </w:p>
        </w:tc>
      </w:tr>
      <w:tr w:rsidR="00200FB2" w14:paraId="36C4953E" w14:textId="24360448" w:rsidTr="00200FB2">
        <w:trPr>
          <w:trHeight w:val="436"/>
        </w:trPr>
        <w:tc>
          <w:tcPr>
            <w:tcW w:w="4957" w:type="dxa"/>
            <w:shd w:val="clear" w:color="auto" w:fill="auto"/>
          </w:tcPr>
          <w:p w14:paraId="48B3193F" w14:textId="77777777" w:rsidR="00200FB2" w:rsidRPr="004E23DA" w:rsidRDefault="00200FB2" w:rsidP="005A5058">
            <w:pPr>
              <w:rPr>
                <w:b/>
              </w:rPr>
            </w:pPr>
            <w:r w:rsidRPr="004E23DA">
              <w:rPr>
                <w:b/>
              </w:rPr>
              <w:t>Housing application fraud</w:t>
            </w:r>
          </w:p>
          <w:p w14:paraId="19DC5098" w14:textId="77777777" w:rsidR="00200FB2" w:rsidRDefault="00200FB2" w:rsidP="005A5058">
            <w:r>
              <w:t>Referrals</w:t>
            </w:r>
          </w:p>
          <w:p w14:paraId="340C8E5E" w14:textId="6C88CA73" w:rsidR="00200FB2" w:rsidRDefault="00200FB2" w:rsidP="005A5058">
            <w:r>
              <w:t>Positive out</w:t>
            </w:r>
            <w:r w:rsidR="00452773">
              <w:t>comes</w:t>
            </w:r>
          </w:p>
          <w:p w14:paraId="065B2147" w14:textId="5A09E502" w:rsidR="00200FB2" w:rsidRPr="003155F7" w:rsidRDefault="00975B12" w:rsidP="005A5058">
            <w:r>
              <w:t>Loss/Loss avoidance</w:t>
            </w:r>
            <w:r w:rsidR="007E27F5">
              <w:t xml:space="preserve"> value</w:t>
            </w:r>
          </w:p>
        </w:tc>
        <w:tc>
          <w:tcPr>
            <w:tcW w:w="4961" w:type="dxa"/>
          </w:tcPr>
          <w:p w14:paraId="41CE8734" w14:textId="77777777" w:rsidR="00200FB2" w:rsidRPr="00D76CBF" w:rsidRDefault="00200FB2" w:rsidP="005A5058"/>
          <w:p w14:paraId="079844BF" w14:textId="3FE03D99" w:rsidR="00034572" w:rsidRPr="00D76CBF" w:rsidRDefault="008B4D3A" w:rsidP="00034572">
            <w:r w:rsidRPr="00D76CBF">
              <w:t>1</w:t>
            </w:r>
          </w:p>
          <w:p w14:paraId="7C832B6C" w14:textId="26BB33AE" w:rsidR="00034572" w:rsidRPr="00D76CBF" w:rsidRDefault="00C9568A" w:rsidP="00034572">
            <w:r w:rsidRPr="00D76CBF">
              <w:t>0</w:t>
            </w:r>
          </w:p>
          <w:p w14:paraId="474F0676" w14:textId="02925E6B" w:rsidR="008B4D3A" w:rsidRPr="00D76CBF" w:rsidRDefault="00D77FFE" w:rsidP="00034572">
            <w:r w:rsidRPr="00D76CBF">
              <w:t>£</w:t>
            </w:r>
            <w:r w:rsidR="008465E5" w:rsidRPr="00D76CBF">
              <w:t>0</w:t>
            </w:r>
          </w:p>
        </w:tc>
      </w:tr>
      <w:tr w:rsidR="00200FB2" w14:paraId="33A58032" w14:textId="3DB7C192" w:rsidTr="00200FB2">
        <w:trPr>
          <w:trHeight w:val="414"/>
        </w:trPr>
        <w:tc>
          <w:tcPr>
            <w:tcW w:w="4957" w:type="dxa"/>
            <w:shd w:val="clear" w:color="auto" w:fill="auto"/>
          </w:tcPr>
          <w:p w14:paraId="2E9E2A77" w14:textId="77777777" w:rsidR="00200FB2" w:rsidRPr="004E23DA" w:rsidRDefault="00200FB2" w:rsidP="005A5058">
            <w:pPr>
              <w:rPr>
                <w:b/>
              </w:rPr>
            </w:pPr>
            <w:r w:rsidRPr="004E23DA">
              <w:rPr>
                <w:b/>
              </w:rPr>
              <w:t>Blue badge</w:t>
            </w:r>
          </w:p>
          <w:p w14:paraId="04CFE0E4" w14:textId="77777777" w:rsidR="00200FB2" w:rsidRDefault="00200FB2" w:rsidP="005A5058">
            <w:r>
              <w:t>Referrals</w:t>
            </w:r>
          </w:p>
          <w:p w14:paraId="35F32D25" w14:textId="57B4D02E" w:rsidR="00200FB2" w:rsidRDefault="00200FB2" w:rsidP="005A5058">
            <w:r>
              <w:t>Positive out</w:t>
            </w:r>
            <w:r w:rsidR="00452773">
              <w:t>comes</w:t>
            </w:r>
          </w:p>
          <w:p w14:paraId="24055528" w14:textId="48A37071" w:rsidR="00200FB2" w:rsidRPr="003155F7" w:rsidRDefault="0021738B" w:rsidP="005A5058">
            <w:r>
              <w:t>Loss/loss avoidance</w:t>
            </w:r>
            <w:r w:rsidR="007E27F5">
              <w:t xml:space="preserve"> value</w:t>
            </w:r>
          </w:p>
        </w:tc>
        <w:tc>
          <w:tcPr>
            <w:tcW w:w="4961" w:type="dxa"/>
          </w:tcPr>
          <w:p w14:paraId="6138271F" w14:textId="77777777" w:rsidR="00200FB2" w:rsidRPr="00D76CBF" w:rsidRDefault="00200FB2" w:rsidP="005A5058"/>
          <w:p w14:paraId="4241C680" w14:textId="3DEE31B1" w:rsidR="00034572" w:rsidRPr="00D76CBF" w:rsidRDefault="008C5DAB" w:rsidP="00034572">
            <w:pPr>
              <w:rPr>
                <w:sz w:val="22"/>
                <w:szCs w:val="22"/>
              </w:rPr>
            </w:pPr>
            <w:r w:rsidRPr="00D76CBF">
              <w:rPr>
                <w:sz w:val="22"/>
                <w:szCs w:val="22"/>
              </w:rPr>
              <w:t>11</w:t>
            </w:r>
          </w:p>
          <w:p w14:paraId="7068E81A" w14:textId="77777777" w:rsidR="00034572" w:rsidRPr="00D76CBF" w:rsidRDefault="00034572" w:rsidP="00034572">
            <w:pPr>
              <w:rPr>
                <w:sz w:val="22"/>
                <w:szCs w:val="22"/>
              </w:rPr>
            </w:pPr>
            <w:r w:rsidRPr="00D76CBF">
              <w:rPr>
                <w:sz w:val="22"/>
                <w:szCs w:val="22"/>
              </w:rPr>
              <w:t>0</w:t>
            </w:r>
          </w:p>
          <w:p w14:paraId="4D89DCAC" w14:textId="039D11DA" w:rsidR="00034572" w:rsidRPr="00D76CBF" w:rsidRDefault="00034572" w:rsidP="00034572">
            <w:r w:rsidRPr="00D76CBF">
              <w:rPr>
                <w:sz w:val="22"/>
                <w:szCs w:val="22"/>
              </w:rPr>
              <w:t>£0</w:t>
            </w:r>
          </w:p>
        </w:tc>
      </w:tr>
      <w:tr w:rsidR="00200FB2" w14:paraId="10878EB6" w14:textId="5600DD52" w:rsidTr="00200FB2">
        <w:trPr>
          <w:trHeight w:val="414"/>
        </w:trPr>
        <w:tc>
          <w:tcPr>
            <w:tcW w:w="4957" w:type="dxa"/>
            <w:shd w:val="clear" w:color="auto" w:fill="auto"/>
          </w:tcPr>
          <w:p w14:paraId="15CBC80A" w14:textId="1F53480A" w:rsidR="00200FB2" w:rsidRPr="004E23DA" w:rsidRDefault="00200FB2" w:rsidP="005A5058">
            <w:pPr>
              <w:rPr>
                <w:b/>
              </w:rPr>
            </w:pPr>
            <w:r w:rsidRPr="004E23DA">
              <w:rPr>
                <w:b/>
              </w:rPr>
              <w:t>Revenues/CT/CTRS/HB</w:t>
            </w:r>
            <w:r w:rsidR="00034572">
              <w:rPr>
                <w:b/>
              </w:rPr>
              <w:t>/Grants</w:t>
            </w:r>
          </w:p>
          <w:p w14:paraId="45C5D317" w14:textId="77777777" w:rsidR="00200FB2" w:rsidRDefault="00200FB2" w:rsidP="005A5058">
            <w:r>
              <w:t>Referrals</w:t>
            </w:r>
          </w:p>
          <w:p w14:paraId="514000AE" w14:textId="469666B9" w:rsidR="00200FB2" w:rsidRDefault="00200FB2" w:rsidP="005A5058">
            <w:r>
              <w:t>Positive out</w:t>
            </w:r>
            <w:r w:rsidR="00452773">
              <w:t>comes</w:t>
            </w:r>
          </w:p>
          <w:p w14:paraId="1F66FF8F" w14:textId="09666DEC" w:rsidR="00200FB2" w:rsidRDefault="003D192D" w:rsidP="005A5058">
            <w:r>
              <w:t>Loss/loss avoidance</w:t>
            </w:r>
            <w:r w:rsidR="007E27F5">
              <w:t xml:space="preserve"> value</w:t>
            </w:r>
          </w:p>
          <w:p w14:paraId="4D66DD73" w14:textId="77777777" w:rsidR="00200FB2" w:rsidRPr="003155F7" w:rsidRDefault="00200FB2" w:rsidP="005A5058"/>
        </w:tc>
        <w:tc>
          <w:tcPr>
            <w:tcW w:w="4961" w:type="dxa"/>
          </w:tcPr>
          <w:p w14:paraId="7428BC49" w14:textId="77777777" w:rsidR="00200FB2" w:rsidRPr="00D76CBF" w:rsidRDefault="00200FB2" w:rsidP="005A5058"/>
          <w:p w14:paraId="59CC202C" w14:textId="201DF7EF" w:rsidR="00034572" w:rsidRPr="00D76CBF" w:rsidRDefault="009F494C" w:rsidP="00034572">
            <w:r w:rsidRPr="00D76CBF">
              <w:t>10</w:t>
            </w:r>
          </w:p>
          <w:p w14:paraId="06FB284E" w14:textId="63F01DC3" w:rsidR="00034572" w:rsidRPr="00D76CBF" w:rsidRDefault="002537CE" w:rsidP="00034572">
            <w:r w:rsidRPr="00D76CBF">
              <w:t>4</w:t>
            </w:r>
          </w:p>
          <w:p w14:paraId="7A376F66" w14:textId="013BC336" w:rsidR="00034572" w:rsidRPr="00D76CBF" w:rsidRDefault="00034572" w:rsidP="00034572">
            <w:r w:rsidRPr="00D76CBF">
              <w:t>£</w:t>
            </w:r>
            <w:r w:rsidR="00F46964" w:rsidRPr="00D76CBF">
              <w:t>19,</w:t>
            </w:r>
            <w:r w:rsidR="002537CE" w:rsidRPr="00D76CBF">
              <w:t>542.76</w:t>
            </w:r>
            <w:r w:rsidRPr="00D76CBF">
              <w:t xml:space="preserve"> </w:t>
            </w:r>
            <w:r w:rsidRPr="00D76CBF">
              <w:rPr>
                <w:sz w:val="16"/>
                <w:szCs w:val="16"/>
              </w:rPr>
              <w:t>(1</w:t>
            </w:r>
            <w:r w:rsidR="00C33E02" w:rsidRPr="00D76CBF">
              <w:rPr>
                <w:sz w:val="16"/>
                <w:szCs w:val="16"/>
              </w:rPr>
              <w:t xml:space="preserve"> x </w:t>
            </w:r>
            <w:r w:rsidRPr="00D76CBF">
              <w:rPr>
                <w:sz w:val="16"/>
                <w:szCs w:val="16"/>
              </w:rPr>
              <w:t>Council Tax Reduction Support overpayment</w:t>
            </w:r>
            <w:r w:rsidR="00C33E02" w:rsidRPr="00D76CBF">
              <w:rPr>
                <w:sz w:val="16"/>
                <w:szCs w:val="16"/>
              </w:rPr>
              <w:t xml:space="preserve"> &amp;</w:t>
            </w:r>
            <w:r w:rsidRPr="00D76CBF">
              <w:rPr>
                <w:sz w:val="16"/>
                <w:szCs w:val="16"/>
              </w:rPr>
              <w:t xml:space="preserve"> </w:t>
            </w:r>
            <w:r w:rsidR="00C33E02" w:rsidRPr="00D76CBF">
              <w:rPr>
                <w:sz w:val="16"/>
                <w:szCs w:val="16"/>
              </w:rPr>
              <w:t>3</w:t>
            </w:r>
            <w:r w:rsidRPr="00D76CBF">
              <w:rPr>
                <w:sz w:val="16"/>
                <w:szCs w:val="16"/>
              </w:rPr>
              <w:t xml:space="preserve"> </w:t>
            </w:r>
            <w:r w:rsidR="00C33E02" w:rsidRPr="00D76CBF">
              <w:rPr>
                <w:sz w:val="16"/>
                <w:szCs w:val="16"/>
              </w:rPr>
              <w:t xml:space="preserve">x </w:t>
            </w:r>
            <w:r w:rsidRPr="00D76CBF">
              <w:rPr>
                <w:sz w:val="16"/>
                <w:szCs w:val="16"/>
              </w:rPr>
              <w:t>H</w:t>
            </w:r>
            <w:r w:rsidR="002537CE" w:rsidRPr="00D76CBF">
              <w:rPr>
                <w:sz w:val="16"/>
                <w:szCs w:val="16"/>
              </w:rPr>
              <w:t>ousing Benefit</w:t>
            </w:r>
            <w:r w:rsidRPr="00D76CBF">
              <w:rPr>
                <w:sz w:val="16"/>
                <w:szCs w:val="16"/>
              </w:rPr>
              <w:t xml:space="preserve"> overpayment</w:t>
            </w:r>
            <w:r w:rsidR="00C33E02" w:rsidRPr="00D76CBF">
              <w:rPr>
                <w:sz w:val="16"/>
                <w:szCs w:val="16"/>
              </w:rPr>
              <w:t>s all linked to tenancy fraud investigations)</w:t>
            </w:r>
          </w:p>
        </w:tc>
      </w:tr>
      <w:tr w:rsidR="00200FB2" w14:paraId="0982953F" w14:textId="3BB98960" w:rsidTr="00200FB2">
        <w:trPr>
          <w:trHeight w:val="414"/>
        </w:trPr>
        <w:tc>
          <w:tcPr>
            <w:tcW w:w="4957" w:type="dxa"/>
            <w:shd w:val="clear" w:color="auto" w:fill="auto"/>
          </w:tcPr>
          <w:p w14:paraId="3B7A8A6C" w14:textId="77823B8A" w:rsidR="00200FB2" w:rsidRPr="004E23DA" w:rsidRDefault="00200FB2" w:rsidP="005A5058">
            <w:pPr>
              <w:rPr>
                <w:b/>
              </w:rPr>
            </w:pPr>
            <w:r w:rsidRPr="004E23DA">
              <w:rPr>
                <w:b/>
              </w:rPr>
              <w:t>Internal</w:t>
            </w:r>
            <w:r w:rsidR="00034572">
              <w:rPr>
                <w:b/>
              </w:rPr>
              <w:t>/Employee</w:t>
            </w:r>
          </w:p>
          <w:p w14:paraId="671D34D0" w14:textId="77777777" w:rsidR="00200FB2" w:rsidRPr="009D572F" w:rsidRDefault="00200FB2" w:rsidP="005A5058">
            <w:r w:rsidRPr="009D572F">
              <w:t>Referrals</w:t>
            </w:r>
          </w:p>
          <w:p w14:paraId="667FF8C3" w14:textId="57A4C237" w:rsidR="00200FB2" w:rsidRPr="009D572F" w:rsidRDefault="00200FB2" w:rsidP="005A5058">
            <w:r>
              <w:t>Positive ou</w:t>
            </w:r>
            <w:r w:rsidR="00452773">
              <w:t>tcomes</w:t>
            </w:r>
          </w:p>
          <w:p w14:paraId="34CFA555" w14:textId="03D609D0" w:rsidR="00200FB2" w:rsidRPr="009D572F" w:rsidRDefault="003D192D" w:rsidP="005A5058">
            <w:r>
              <w:t>Loss/loss avoidance</w:t>
            </w:r>
            <w:r w:rsidR="007E27F5">
              <w:t xml:space="preserve"> value</w:t>
            </w:r>
          </w:p>
        </w:tc>
        <w:tc>
          <w:tcPr>
            <w:tcW w:w="4961" w:type="dxa"/>
          </w:tcPr>
          <w:p w14:paraId="1EDDA50C" w14:textId="77777777" w:rsidR="00200FB2" w:rsidRPr="00D76CBF" w:rsidRDefault="00200FB2" w:rsidP="005A5058"/>
          <w:p w14:paraId="38118810" w14:textId="17C4BAE3" w:rsidR="00034572" w:rsidRPr="00D76CBF" w:rsidRDefault="00034572" w:rsidP="00034572">
            <w:pPr>
              <w:rPr>
                <w:sz w:val="22"/>
                <w:szCs w:val="22"/>
              </w:rPr>
            </w:pPr>
            <w:r w:rsidRPr="00D76CBF">
              <w:rPr>
                <w:sz w:val="22"/>
                <w:szCs w:val="22"/>
              </w:rPr>
              <w:t>1</w:t>
            </w:r>
            <w:r w:rsidR="00123FA2" w:rsidRPr="00D76CBF">
              <w:rPr>
                <w:sz w:val="22"/>
                <w:szCs w:val="22"/>
              </w:rPr>
              <w:t>4</w:t>
            </w:r>
          </w:p>
          <w:p w14:paraId="139DAB53" w14:textId="51FA460B" w:rsidR="00034572" w:rsidRPr="00D76CBF" w:rsidRDefault="005437F3" w:rsidP="00034572">
            <w:pPr>
              <w:rPr>
                <w:sz w:val="22"/>
                <w:szCs w:val="22"/>
              </w:rPr>
            </w:pPr>
            <w:r w:rsidRPr="00D76CBF">
              <w:rPr>
                <w:sz w:val="22"/>
                <w:szCs w:val="22"/>
              </w:rPr>
              <w:t>1</w:t>
            </w:r>
          </w:p>
          <w:p w14:paraId="57D80250" w14:textId="46688587" w:rsidR="00034572" w:rsidRPr="00D76CBF" w:rsidRDefault="00034572" w:rsidP="00034572">
            <w:r w:rsidRPr="00D76CBF">
              <w:rPr>
                <w:sz w:val="22"/>
                <w:szCs w:val="22"/>
              </w:rPr>
              <w:t>£</w:t>
            </w:r>
            <w:r w:rsidR="00CD640D" w:rsidRPr="00D76CBF">
              <w:rPr>
                <w:sz w:val="22"/>
                <w:szCs w:val="22"/>
              </w:rPr>
              <w:t>34,</w:t>
            </w:r>
            <w:r w:rsidR="00350E2F" w:rsidRPr="00D76CBF">
              <w:rPr>
                <w:sz w:val="22"/>
                <w:szCs w:val="22"/>
              </w:rPr>
              <w:t xml:space="preserve">322.48 </w:t>
            </w:r>
            <w:r w:rsidRPr="00D76CBF">
              <w:rPr>
                <w:sz w:val="16"/>
                <w:szCs w:val="16"/>
              </w:rPr>
              <w:t>(1 employee dis</w:t>
            </w:r>
            <w:r w:rsidR="005437F3" w:rsidRPr="00D76CBF">
              <w:rPr>
                <w:sz w:val="16"/>
                <w:szCs w:val="16"/>
              </w:rPr>
              <w:t>missed)</w:t>
            </w:r>
            <w:r w:rsidRPr="00D76CBF">
              <w:rPr>
                <w:sz w:val="16"/>
                <w:szCs w:val="16"/>
              </w:rPr>
              <w:t xml:space="preserve"> </w:t>
            </w:r>
          </w:p>
        </w:tc>
      </w:tr>
      <w:tr w:rsidR="00034572" w14:paraId="59190A5C" w14:textId="14DD9A1F" w:rsidTr="00200FB2">
        <w:trPr>
          <w:trHeight w:val="414"/>
        </w:trPr>
        <w:tc>
          <w:tcPr>
            <w:tcW w:w="4957" w:type="dxa"/>
            <w:shd w:val="clear" w:color="auto" w:fill="auto"/>
          </w:tcPr>
          <w:p w14:paraId="71A43A7F" w14:textId="77777777" w:rsidR="00034572" w:rsidRPr="004E23DA" w:rsidRDefault="00034572" w:rsidP="00034572">
            <w:pPr>
              <w:rPr>
                <w:b/>
              </w:rPr>
            </w:pPr>
            <w:r w:rsidRPr="004E23DA">
              <w:rPr>
                <w:b/>
              </w:rPr>
              <w:t>Right to Buy</w:t>
            </w:r>
          </w:p>
          <w:p w14:paraId="44651C34" w14:textId="77777777" w:rsidR="00034572" w:rsidRDefault="00034572" w:rsidP="00034572">
            <w:r>
              <w:t>Referrals</w:t>
            </w:r>
          </w:p>
          <w:p w14:paraId="75F7CE2E" w14:textId="2BBB9DE2" w:rsidR="00034572" w:rsidRDefault="00034572" w:rsidP="00034572">
            <w:r>
              <w:t>Positive out</w:t>
            </w:r>
            <w:r w:rsidR="00452773">
              <w:t xml:space="preserve">comes </w:t>
            </w:r>
          </w:p>
          <w:p w14:paraId="27AC6E6B" w14:textId="45431BF2" w:rsidR="00034572" w:rsidRPr="003155F7" w:rsidRDefault="00BF5C92" w:rsidP="00034572">
            <w:r>
              <w:t>Loss/loss avoidance</w:t>
            </w:r>
            <w:r w:rsidR="005D245F">
              <w:t xml:space="preserve"> value</w:t>
            </w:r>
          </w:p>
        </w:tc>
        <w:tc>
          <w:tcPr>
            <w:tcW w:w="4961" w:type="dxa"/>
          </w:tcPr>
          <w:p w14:paraId="316675E9" w14:textId="77777777" w:rsidR="00034572" w:rsidRPr="00D76CBF" w:rsidRDefault="00034572" w:rsidP="00034572"/>
          <w:p w14:paraId="42C64975" w14:textId="14AF5582" w:rsidR="00034572" w:rsidRPr="00D76CBF" w:rsidRDefault="00E316BB" w:rsidP="00034572">
            <w:r w:rsidRPr="00D76CBF">
              <w:t>19</w:t>
            </w:r>
          </w:p>
          <w:p w14:paraId="4BFCE7DE" w14:textId="78FCEC12" w:rsidR="00034572" w:rsidRPr="00D76CBF" w:rsidRDefault="002253D9" w:rsidP="00034572">
            <w:r w:rsidRPr="00D76CBF">
              <w:t>6</w:t>
            </w:r>
          </w:p>
          <w:p w14:paraId="146E4FB0" w14:textId="0317CF4F" w:rsidR="00034572" w:rsidRPr="00D76CBF" w:rsidRDefault="00034572" w:rsidP="00034572">
            <w:r w:rsidRPr="00D76CBF">
              <w:t>£</w:t>
            </w:r>
            <w:r w:rsidR="002253D9" w:rsidRPr="00D76CBF">
              <w:t>675,300</w:t>
            </w:r>
            <w:r w:rsidRPr="00D76CBF">
              <w:t xml:space="preserve"> </w:t>
            </w:r>
            <w:r w:rsidRPr="00D76CBF">
              <w:rPr>
                <w:sz w:val="16"/>
                <w:szCs w:val="16"/>
              </w:rPr>
              <w:t>(</w:t>
            </w:r>
            <w:r w:rsidR="002253D9" w:rsidRPr="00D76CBF">
              <w:rPr>
                <w:sz w:val="16"/>
                <w:szCs w:val="16"/>
              </w:rPr>
              <w:t>6</w:t>
            </w:r>
            <w:r w:rsidRPr="00D76CBF">
              <w:rPr>
                <w:sz w:val="16"/>
                <w:szCs w:val="16"/>
              </w:rPr>
              <w:t xml:space="preserve"> RTB application</w:t>
            </w:r>
            <w:r w:rsidR="005D245F" w:rsidRPr="00D76CBF">
              <w:rPr>
                <w:sz w:val="16"/>
                <w:szCs w:val="16"/>
              </w:rPr>
              <w:t>s</w:t>
            </w:r>
            <w:r w:rsidRPr="00D76CBF">
              <w:rPr>
                <w:sz w:val="16"/>
                <w:szCs w:val="16"/>
              </w:rPr>
              <w:t xml:space="preserve"> d</w:t>
            </w:r>
            <w:r w:rsidR="009E3D6A" w:rsidRPr="00D76CBF">
              <w:rPr>
                <w:sz w:val="16"/>
                <w:szCs w:val="16"/>
              </w:rPr>
              <w:t>eclined</w:t>
            </w:r>
            <w:r w:rsidR="009C2E47" w:rsidRPr="00D76CBF">
              <w:rPr>
                <w:sz w:val="16"/>
                <w:szCs w:val="16"/>
              </w:rPr>
              <w:t xml:space="preserve"> followi</w:t>
            </w:r>
            <w:r w:rsidR="00D81ED7" w:rsidRPr="00D76CBF">
              <w:rPr>
                <w:sz w:val="16"/>
                <w:szCs w:val="16"/>
              </w:rPr>
              <w:t>ng money laundering checks)</w:t>
            </w:r>
            <w:r w:rsidRPr="00D76CBF">
              <w:t xml:space="preserve"> </w:t>
            </w:r>
          </w:p>
        </w:tc>
      </w:tr>
      <w:tr w:rsidR="00034572" w14:paraId="55046AF0" w14:textId="66F3BDCB" w:rsidTr="00200FB2">
        <w:trPr>
          <w:trHeight w:val="414"/>
        </w:trPr>
        <w:tc>
          <w:tcPr>
            <w:tcW w:w="4957" w:type="dxa"/>
            <w:shd w:val="clear" w:color="auto" w:fill="auto"/>
          </w:tcPr>
          <w:p w14:paraId="30AF4CE8" w14:textId="0C261633" w:rsidR="00034572" w:rsidRPr="004E23DA" w:rsidRDefault="00034572" w:rsidP="00034572">
            <w:pPr>
              <w:rPr>
                <w:b/>
              </w:rPr>
            </w:pPr>
            <w:r>
              <w:rPr>
                <w:b/>
              </w:rPr>
              <w:t>Social care</w:t>
            </w:r>
          </w:p>
          <w:p w14:paraId="50261FD2" w14:textId="77777777" w:rsidR="00034572" w:rsidRDefault="00034572" w:rsidP="00034572">
            <w:r>
              <w:t>Referrals</w:t>
            </w:r>
          </w:p>
          <w:p w14:paraId="619F9653" w14:textId="2CCFA754" w:rsidR="00034572" w:rsidRDefault="00034572" w:rsidP="00034572">
            <w:r>
              <w:t>Positive out</w:t>
            </w:r>
            <w:r w:rsidR="00900F5E">
              <w:t>comes</w:t>
            </w:r>
          </w:p>
          <w:p w14:paraId="4256E297" w14:textId="13648B82" w:rsidR="00034572" w:rsidRPr="003155F7" w:rsidRDefault="00BF5C92" w:rsidP="00034572">
            <w:r>
              <w:t>Loss/loss avoidance</w:t>
            </w:r>
            <w:r w:rsidR="005D245F">
              <w:t xml:space="preserve"> value</w:t>
            </w:r>
          </w:p>
        </w:tc>
        <w:tc>
          <w:tcPr>
            <w:tcW w:w="4961" w:type="dxa"/>
          </w:tcPr>
          <w:p w14:paraId="6726A9E7" w14:textId="77777777" w:rsidR="00034572" w:rsidRPr="00D76CBF" w:rsidRDefault="00034572" w:rsidP="00034572"/>
          <w:p w14:paraId="5150FBA0" w14:textId="3E693BD4" w:rsidR="00034572" w:rsidRPr="00D76CBF" w:rsidRDefault="00E8476C" w:rsidP="00034572">
            <w:r w:rsidRPr="00D76CBF">
              <w:t>20</w:t>
            </w:r>
          </w:p>
          <w:p w14:paraId="2AD21ADE" w14:textId="50BA7415" w:rsidR="00034572" w:rsidRPr="00D76CBF" w:rsidRDefault="00E8476C" w:rsidP="00034572">
            <w:r w:rsidRPr="00D76CBF">
              <w:t>4</w:t>
            </w:r>
          </w:p>
          <w:p w14:paraId="2FC5110E" w14:textId="3A93F346" w:rsidR="00BE7EF2" w:rsidRPr="00D76CBF" w:rsidRDefault="00034572" w:rsidP="00034572">
            <w:r w:rsidRPr="00D76CBF">
              <w:t>£</w:t>
            </w:r>
            <w:r w:rsidR="00692D86" w:rsidRPr="00D76CBF">
              <w:t>317,</w:t>
            </w:r>
            <w:r w:rsidR="005D245F" w:rsidRPr="00D76CBF">
              <w:t xml:space="preserve">792.80 </w:t>
            </w:r>
            <w:r w:rsidR="005E3D78" w:rsidRPr="00D76CBF">
              <w:rPr>
                <w:sz w:val="16"/>
                <w:szCs w:val="16"/>
              </w:rPr>
              <w:t>(</w:t>
            </w:r>
            <w:r w:rsidR="0042381B" w:rsidRPr="00D76CBF">
              <w:rPr>
                <w:sz w:val="16"/>
                <w:szCs w:val="16"/>
              </w:rPr>
              <w:t>4 x personal budgets)</w:t>
            </w:r>
            <w:r w:rsidR="0042381B" w:rsidRPr="00D76CBF">
              <w:t xml:space="preserve"> </w:t>
            </w:r>
          </w:p>
        </w:tc>
      </w:tr>
      <w:tr w:rsidR="00034572" w14:paraId="2D98CB81" w14:textId="362C06AD" w:rsidTr="00200FB2">
        <w:trPr>
          <w:trHeight w:val="414"/>
        </w:trPr>
        <w:tc>
          <w:tcPr>
            <w:tcW w:w="4957" w:type="dxa"/>
            <w:shd w:val="clear" w:color="auto" w:fill="auto"/>
          </w:tcPr>
          <w:p w14:paraId="258766E2" w14:textId="77777777" w:rsidR="00034572" w:rsidRPr="004E23DA" w:rsidRDefault="00034572" w:rsidP="00034572">
            <w:pPr>
              <w:rPr>
                <w:b/>
              </w:rPr>
            </w:pPr>
            <w:r w:rsidRPr="004E23DA">
              <w:rPr>
                <w:b/>
              </w:rPr>
              <w:t>Tenancy</w:t>
            </w:r>
          </w:p>
          <w:p w14:paraId="5682C2F1" w14:textId="77777777" w:rsidR="00034572" w:rsidRDefault="00034572" w:rsidP="00034572">
            <w:r>
              <w:t>Referrals</w:t>
            </w:r>
          </w:p>
          <w:p w14:paraId="717D8565" w14:textId="2B0EB4E5" w:rsidR="00034572" w:rsidRDefault="00034572" w:rsidP="00034572">
            <w:r>
              <w:t>Positive out</w:t>
            </w:r>
            <w:r w:rsidR="00900F5E">
              <w:t>comes</w:t>
            </w:r>
          </w:p>
          <w:p w14:paraId="77735878" w14:textId="10528BC9" w:rsidR="00034572" w:rsidRDefault="00BF5C92" w:rsidP="00034572">
            <w:r>
              <w:t>Loss/</w:t>
            </w:r>
            <w:r w:rsidR="009F3C06">
              <w:t>loss avoidance</w:t>
            </w:r>
            <w:r w:rsidR="005D245F">
              <w:t xml:space="preserve"> value</w:t>
            </w:r>
          </w:p>
          <w:p w14:paraId="1F15D946" w14:textId="77777777" w:rsidR="00034572" w:rsidRPr="003155F7" w:rsidRDefault="00034572" w:rsidP="00034572"/>
        </w:tc>
        <w:tc>
          <w:tcPr>
            <w:tcW w:w="4961" w:type="dxa"/>
          </w:tcPr>
          <w:p w14:paraId="18937DD9" w14:textId="77777777" w:rsidR="00034572" w:rsidRPr="00D76CBF" w:rsidRDefault="00034572" w:rsidP="00034572"/>
          <w:p w14:paraId="6D4FA042" w14:textId="142F5143" w:rsidR="00034572" w:rsidRPr="00D76CBF" w:rsidRDefault="001D5130" w:rsidP="00034572">
            <w:r w:rsidRPr="00D76CBF">
              <w:t>31</w:t>
            </w:r>
          </w:p>
          <w:p w14:paraId="22C3E72F" w14:textId="7598F0A6" w:rsidR="00034572" w:rsidRPr="00D76CBF" w:rsidRDefault="002F7784" w:rsidP="00034572">
            <w:r w:rsidRPr="00D76CBF">
              <w:t>5</w:t>
            </w:r>
          </w:p>
          <w:p w14:paraId="5208E45A" w14:textId="58E88E88" w:rsidR="00BE7EF2" w:rsidRPr="005B6965" w:rsidRDefault="00034572" w:rsidP="00034572">
            <w:pPr>
              <w:rPr>
                <w:sz w:val="16"/>
                <w:szCs w:val="16"/>
              </w:rPr>
            </w:pPr>
            <w:r w:rsidRPr="00D76CBF">
              <w:t>£</w:t>
            </w:r>
            <w:r w:rsidR="00866F9D" w:rsidRPr="00D76CBF">
              <w:t>480,007.14</w:t>
            </w:r>
            <w:r w:rsidRPr="00D76CBF">
              <w:t xml:space="preserve"> </w:t>
            </w:r>
            <w:r w:rsidRPr="00D76CBF">
              <w:rPr>
                <w:sz w:val="16"/>
                <w:szCs w:val="16"/>
              </w:rPr>
              <w:t>(</w:t>
            </w:r>
            <w:r w:rsidR="002F7784" w:rsidRPr="00D76CBF">
              <w:rPr>
                <w:sz w:val="16"/>
                <w:szCs w:val="16"/>
              </w:rPr>
              <w:t>5</w:t>
            </w:r>
            <w:r w:rsidRPr="00D76CBF">
              <w:rPr>
                <w:sz w:val="16"/>
                <w:szCs w:val="16"/>
              </w:rPr>
              <w:t xml:space="preserve"> </w:t>
            </w:r>
            <w:r w:rsidR="00866F9D" w:rsidRPr="00D76CBF">
              <w:rPr>
                <w:sz w:val="16"/>
                <w:szCs w:val="16"/>
              </w:rPr>
              <w:t xml:space="preserve">x </w:t>
            </w:r>
            <w:r w:rsidRPr="00D76CBF">
              <w:rPr>
                <w:sz w:val="16"/>
                <w:szCs w:val="16"/>
              </w:rPr>
              <w:t xml:space="preserve">council tenancies </w:t>
            </w:r>
            <w:r w:rsidR="002F7784" w:rsidRPr="00D76CBF">
              <w:rPr>
                <w:sz w:val="16"/>
                <w:szCs w:val="16"/>
              </w:rPr>
              <w:t>r</w:t>
            </w:r>
            <w:r w:rsidRPr="00D76CBF">
              <w:rPr>
                <w:sz w:val="16"/>
                <w:szCs w:val="16"/>
              </w:rPr>
              <w:t>ecovered</w:t>
            </w:r>
            <w:r w:rsidR="00866F9D" w:rsidRPr="00D76CBF">
              <w:rPr>
                <w:sz w:val="16"/>
                <w:szCs w:val="16"/>
              </w:rPr>
              <w:t>, 1 x court costs and 1 x unlawful profit order)</w:t>
            </w:r>
          </w:p>
        </w:tc>
      </w:tr>
      <w:tr w:rsidR="00034572" w14:paraId="60399FCC" w14:textId="3A2D31CE" w:rsidTr="00200FB2">
        <w:trPr>
          <w:trHeight w:val="436"/>
        </w:trPr>
        <w:tc>
          <w:tcPr>
            <w:tcW w:w="4957" w:type="dxa"/>
            <w:shd w:val="clear" w:color="auto" w:fill="auto"/>
          </w:tcPr>
          <w:p w14:paraId="59C3E323" w14:textId="77777777" w:rsidR="00034572" w:rsidRPr="004E23DA" w:rsidRDefault="00034572" w:rsidP="00034572">
            <w:pPr>
              <w:rPr>
                <w:b/>
              </w:rPr>
            </w:pPr>
            <w:r w:rsidRPr="004E23DA">
              <w:rPr>
                <w:b/>
              </w:rPr>
              <w:t>Totals</w:t>
            </w:r>
          </w:p>
          <w:p w14:paraId="17ABC09F" w14:textId="77777777" w:rsidR="00034572" w:rsidRPr="004E23DA" w:rsidRDefault="00034572" w:rsidP="00034572">
            <w:pPr>
              <w:rPr>
                <w:b/>
              </w:rPr>
            </w:pPr>
            <w:r w:rsidRPr="004E23DA">
              <w:rPr>
                <w:b/>
              </w:rPr>
              <w:t>Referrals</w:t>
            </w:r>
          </w:p>
          <w:p w14:paraId="33095387" w14:textId="3C2D2C96" w:rsidR="00034572" w:rsidRPr="004E23DA" w:rsidRDefault="00034572" w:rsidP="00034572">
            <w:pPr>
              <w:rPr>
                <w:b/>
              </w:rPr>
            </w:pPr>
            <w:r>
              <w:rPr>
                <w:b/>
              </w:rPr>
              <w:t>Positive out</w:t>
            </w:r>
            <w:r w:rsidR="00975B12">
              <w:rPr>
                <w:b/>
              </w:rPr>
              <w:t>comes</w:t>
            </w:r>
          </w:p>
          <w:p w14:paraId="07D62BA0" w14:textId="6CB0E9E5" w:rsidR="00CC741E" w:rsidRPr="004E23DA" w:rsidRDefault="0043140E" w:rsidP="00034572">
            <w:pPr>
              <w:rPr>
                <w:b/>
              </w:rPr>
            </w:pPr>
            <w:r>
              <w:rPr>
                <w:b/>
              </w:rPr>
              <w:t>Loss/loss avoidance</w:t>
            </w:r>
            <w:r w:rsidR="00437488">
              <w:rPr>
                <w:b/>
              </w:rPr>
              <w:t xml:space="preserve"> value </w:t>
            </w:r>
          </w:p>
        </w:tc>
        <w:tc>
          <w:tcPr>
            <w:tcW w:w="4961" w:type="dxa"/>
          </w:tcPr>
          <w:p w14:paraId="2AE54A38" w14:textId="395D07AF" w:rsidR="00034572" w:rsidRPr="00D76CBF" w:rsidRDefault="00034572" w:rsidP="00034572">
            <w:pPr>
              <w:rPr>
                <w:b/>
              </w:rPr>
            </w:pPr>
          </w:p>
          <w:p w14:paraId="7E2AEEC7" w14:textId="77777777" w:rsidR="00034572" w:rsidRPr="00D76CBF" w:rsidRDefault="00C9568A" w:rsidP="00C061F6">
            <w:pPr>
              <w:rPr>
                <w:b/>
              </w:rPr>
            </w:pPr>
            <w:r w:rsidRPr="00D76CBF">
              <w:rPr>
                <w:b/>
              </w:rPr>
              <w:t>106</w:t>
            </w:r>
          </w:p>
          <w:p w14:paraId="753A8F7D" w14:textId="77777777" w:rsidR="00C9568A" w:rsidRPr="00D76CBF" w:rsidRDefault="00437488" w:rsidP="00C061F6">
            <w:pPr>
              <w:rPr>
                <w:b/>
              </w:rPr>
            </w:pPr>
            <w:r w:rsidRPr="00D76CBF">
              <w:rPr>
                <w:b/>
              </w:rPr>
              <w:t>20</w:t>
            </w:r>
          </w:p>
          <w:p w14:paraId="72DC6EE5" w14:textId="2B73DCDD" w:rsidR="00437488" w:rsidRPr="00D76CBF" w:rsidRDefault="00014C7A" w:rsidP="00C061F6">
            <w:pPr>
              <w:rPr>
                <w:b/>
              </w:rPr>
            </w:pPr>
            <w:r w:rsidRPr="00D76CBF">
              <w:rPr>
                <w:b/>
              </w:rPr>
              <w:t>£1,526,965.18</w:t>
            </w:r>
          </w:p>
        </w:tc>
      </w:tr>
    </w:tbl>
    <w:p w14:paraId="1DB440A2" w14:textId="77777777" w:rsidR="00BC4DED" w:rsidRDefault="00BC4DED" w:rsidP="00C0282A">
      <w:pPr>
        <w:rPr>
          <w:b/>
        </w:rPr>
      </w:pPr>
    </w:p>
    <w:p w14:paraId="1E2D6EDE" w14:textId="18855AF8" w:rsidR="00C0282A" w:rsidRPr="0081702B" w:rsidRDefault="00E0020F" w:rsidP="00C0282A">
      <w:pPr>
        <w:rPr>
          <w:b/>
        </w:rPr>
      </w:pPr>
      <w:r>
        <w:rPr>
          <w:b/>
        </w:rPr>
        <w:t>20</w:t>
      </w:r>
      <w:r w:rsidR="00F57C9D">
        <w:rPr>
          <w:b/>
        </w:rPr>
        <w:t>2</w:t>
      </w:r>
      <w:r w:rsidR="00997C02">
        <w:rPr>
          <w:b/>
        </w:rPr>
        <w:t>2</w:t>
      </w:r>
      <w:r w:rsidR="005B6965">
        <w:rPr>
          <w:b/>
        </w:rPr>
        <w:t>/</w:t>
      </w:r>
      <w:r w:rsidR="00C0043F">
        <w:rPr>
          <w:b/>
        </w:rPr>
        <w:t>2</w:t>
      </w:r>
      <w:r w:rsidR="00997C02">
        <w:rPr>
          <w:b/>
        </w:rPr>
        <w:t>3</w:t>
      </w:r>
      <w:r w:rsidR="00C0043F">
        <w:rPr>
          <w:b/>
        </w:rPr>
        <w:t xml:space="preserve"> </w:t>
      </w:r>
      <w:r w:rsidR="000C5DC2">
        <w:rPr>
          <w:b/>
        </w:rPr>
        <w:t xml:space="preserve">Year-End </w:t>
      </w:r>
      <w:r w:rsidR="00C0043F">
        <w:rPr>
          <w:b/>
        </w:rPr>
        <w:t xml:space="preserve">Financial </w:t>
      </w:r>
      <w:r w:rsidR="00C0282A" w:rsidRPr="0081702B">
        <w:rPr>
          <w:b/>
        </w:rPr>
        <w:t>Summary</w:t>
      </w:r>
    </w:p>
    <w:p w14:paraId="63669638" w14:textId="6806B2EF" w:rsidR="00F05E6E" w:rsidRDefault="005B6965" w:rsidP="00034572">
      <w:r>
        <w:t>During 2022/23 t</w:t>
      </w:r>
      <w:r w:rsidR="00034572">
        <w:t xml:space="preserve">he </w:t>
      </w:r>
      <w:r>
        <w:t xml:space="preserve">total </w:t>
      </w:r>
      <w:r w:rsidR="00EE67D2">
        <w:t>value</w:t>
      </w:r>
      <w:r w:rsidR="00034572" w:rsidRPr="0081702B">
        <w:t xml:space="preserve"> of fraud </w:t>
      </w:r>
      <w:r w:rsidR="00B02A5F">
        <w:t>loss/avoidance</w:t>
      </w:r>
      <w:r w:rsidR="00034572" w:rsidRPr="0081702B">
        <w:t xml:space="preserve"> identified </w:t>
      </w:r>
      <w:r w:rsidR="00034572">
        <w:t>amount</w:t>
      </w:r>
      <w:r>
        <w:t>ed</w:t>
      </w:r>
      <w:r w:rsidR="00034572">
        <w:t xml:space="preserve"> to £</w:t>
      </w:r>
      <w:r w:rsidR="00014C7A">
        <w:t>1,526</w:t>
      </w:r>
      <w:r w:rsidR="005B3449">
        <w:t>,965.18</w:t>
      </w:r>
      <w:r w:rsidR="00F05E6E">
        <w:t>.</w:t>
      </w:r>
    </w:p>
    <w:p w14:paraId="4E068931" w14:textId="77777777" w:rsidR="00F05E6E" w:rsidRDefault="00F05E6E" w:rsidP="00034572"/>
    <w:p w14:paraId="7B286E30" w14:textId="171B4621" w:rsidR="00AC1DE1" w:rsidRDefault="00F05E6E" w:rsidP="002C54A1">
      <w:pPr>
        <w:rPr>
          <w:b/>
        </w:rPr>
      </w:pPr>
      <w:r>
        <w:t xml:space="preserve">This </w:t>
      </w:r>
      <w:r w:rsidR="00034572">
        <w:t xml:space="preserve">represents </w:t>
      </w:r>
      <w:r w:rsidR="005B6965">
        <w:t>a</w:t>
      </w:r>
      <w:r w:rsidR="00034572" w:rsidRPr="0081702B">
        <w:t xml:space="preserve"> return</w:t>
      </w:r>
      <w:r w:rsidR="00034572">
        <w:t xml:space="preserve"> on investment for the </w:t>
      </w:r>
      <w:r w:rsidR="00B02A5F">
        <w:t xml:space="preserve">cost of </w:t>
      </w:r>
      <w:r>
        <w:t>running the</w:t>
      </w:r>
      <w:r w:rsidR="00B02A5F">
        <w:t xml:space="preserve"> team </w:t>
      </w:r>
      <w:r w:rsidR="005D2356">
        <w:t>of over</w:t>
      </w:r>
      <w:r w:rsidR="008C43C6">
        <w:t xml:space="preserve"> 5:1</w:t>
      </w:r>
      <w:r w:rsidR="005D2356">
        <w:t>.</w:t>
      </w:r>
      <w:r w:rsidR="00034572">
        <w:t xml:space="preserve">  </w:t>
      </w:r>
    </w:p>
    <w:sectPr w:rsidR="00AC1DE1" w:rsidSect="00D545B4">
      <w:headerReference w:type="default" r:id="rId11"/>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CE3B" w14:textId="77777777" w:rsidR="000A5962" w:rsidRDefault="000A5962">
      <w:r>
        <w:separator/>
      </w:r>
    </w:p>
  </w:endnote>
  <w:endnote w:type="continuationSeparator" w:id="0">
    <w:p w14:paraId="10BB2643" w14:textId="77777777" w:rsidR="000A5962" w:rsidRDefault="000A5962">
      <w:r>
        <w:continuationSeparator/>
      </w:r>
    </w:p>
  </w:endnote>
  <w:endnote w:type="continuationNotice" w:id="1">
    <w:p w14:paraId="7AFA1CE7" w14:textId="77777777" w:rsidR="000A5962" w:rsidRDefault="000A5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FF67" w14:textId="77777777" w:rsidR="000A5962" w:rsidRDefault="000A5962">
      <w:r>
        <w:separator/>
      </w:r>
    </w:p>
  </w:footnote>
  <w:footnote w:type="continuationSeparator" w:id="0">
    <w:p w14:paraId="660BFA7F" w14:textId="77777777" w:rsidR="000A5962" w:rsidRDefault="000A5962">
      <w:r>
        <w:continuationSeparator/>
      </w:r>
    </w:p>
  </w:footnote>
  <w:footnote w:type="continuationNotice" w:id="1">
    <w:p w14:paraId="32847D2F" w14:textId="77777777" w:rsidR="000A5962" w:rsidRDefault="000A5962"/>
  </w:footnote>
  <w:footnote w:id="2">
    <w:p w14:paraId="7A4F338A" w14:textId="77777777" w:rsidR="00FB70E3" w:rsidRPr="00E52974" w:rsidRDefault="00D42642" w:rsidP="00FB70E3">
      <w:pPr>
        <w:pStyle w:val="FootnoteText"/>
      </w:pPr>
      <w:r>
        <w:rPr>
          <w:rStyle w:val="FootnoteReference"/>
        </w:rPr>
        <w:footnoteRef/>
      </w:r>
      <w:r>
        <w:t xml:space="preserve"> </w:t>
      </w:r>
      <w:r w:rsidR="00FB70E3" w:rsidRPr="00E52974">
        <w:t>Tenancy recovery value according to the Cabinet Office and the authorities’ fraud loss formula is £93,000 per unit.</w:t>
      </w:r>
    </w:p>
    <w:p w14:paraId="5109B4C6" w14:textId="4B793CAD" w:rsidR="00D42642" w:rsidRDefault="00D42642">
      <w:pPr>
        <w:pStyle w:val="FootnoteText"/>
      </w:pPr>
    </w:p>
  </w:footnote>
  <w:footnote w:id="3">
    <w:p w14:paraId="5617947A" w14:textId="77777777" w:rsidR="00A10920" w:rsidRPr="00327907" w:rsidRDefault="00A10920" w:rsidP="00A10920">
      <w:pPr>
        <w:rPr>
          <w:sz w:val="20"/>
          <w:szCs w:val="20"/>
        </w:rPr>
      </w:pPr>
      <w:r>
        <w:rPr>
          <w:rStyle w:val="FootnoteReference"/>
        </w:rPr>
        <w:footnoteRef/>
      </w:r>
      <w:r>
        <w:t xml:space="preserve"> </w:t>
      </w:r>
      <w:r w:rsidRPr="00327907">
        <w:rPr>
          <w:sz w:val="20"/>
          <w:szCs w:val="20"/>
        </w:rPr>
        <w:t xml:space="preserve">The value of RTB loss prevention is equal to the value of the purchase discount which can vary depending on the length of time the tenant has occupied the property and when they submitted their application as the discount increase annually in line with the consumer price index (CPI).    </w:t>
      </w:r>
    </w:p>
    <w:p w14:paraId="702BFAE8" w14:textId="61A7EDCD" w:rsidR="00A10920" w:rsidRDefault="00A10920">
      <w:pPr>
        <w:pStyle w:val="FootnoteText"/>
      </w:pPr>
    </w:p>
  </w:footnote>
  <w:footnote w:id="4">
    <w:p w14:paraId="2435599B" w14:textId="071EF849" w:rsidR="00F868B9" w:rsidRPr="00F868B9" w:rsidRDefault="00F868B9" w:rsidP="00F868B9">
      <w:pPr>
        <w:rPr>
          <w:bCs/>
          <w:sz w:val="20"/>
          <w:szCs w:val="20"/>
        </w:rPr>
      </w:pPr>
      <w:r>
        <w:rPr>
          <w:rStyle w:val="FootnoteReference"/>
        </w:rPr>
        <w:footnoteRef/>
      </w:r>
      <w:r>
        <w:t xml:space="preserve"> </w:t>
      </w:r>
      <w:r w:rsidRPr="00F868B9">
        <w:rPr>
          <w:bCs/>
          <w:sz w:val="20"/>
          <w:szCs w:val="20"/>
        </w:rPr>
        <w:t xml:space="preserve">Loss figure calculated by using the annual salary of the dismissed individual in line with the fraud loss formula </w:t>
      </w:r>
    </w:p>
    <w:p w14:paraId="7C5F0046" w14:textId="2DBB55F8" w:rsidR="00F868B9" w:rsidRPr="00F868B9" w:rsidRDefault="00F868B9">
      <w:pPr>
        <w:pStyle w:val="FootnoteText"/>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ECF7" w14:textId="33681261" w:rsidR="00C42335" w:rsidRDefault="00C42335">
    <w:pPr>
      <w:pStyle w:val="Header"/>
    </w:pPr>
    <w:r>
      <w:rPr>
        <w:noProof/>
        <w:lang w:val="en-US"/>
      </w:rPr>
      <mc:AlternateContent>
        <mc:Choice Requires="wps">
          <w:drawing>
            <wp:anchor distT="0" distB="0" distL="114300" distR="114300" simplePos="0" relativeHeight="251658240" behindDoc="0" locked="0" layoutInCell="1" allowOverlap="1" wp14:anchorId="39F39722" wp14:editId="67E410DE">
              <wp:simplePos x="0" y="0"/>
              <wp:positionH relativeFrom="column">
                <wp:posOffset>186055</wp:posOffset>
              </wp:positionH>
              <wp:positionV relativeFrom="paragraph">
                <wp:posOffset>4209415</wp:posOffset>
              </wp:positionV>
              <wp:extent cx="6177280" cy="1306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15800">
                        <a:off x="0" y="0"/>
                        <a:ext cx="6177280" cy="1306830"/>
                      </a:xfrm>
                      <a:prstGeom prst="rect">
                        <a:avLst/>
                      </a:prstGeom>
                      <a:extLst>
                        <a:ext uri="{AF507438-7753-43E0-B8FC-AC1667EBCBE1}">
                          <a14:hiddenEffects xmlns:a14="http://schemas.microsoft.com/office/drawing/2010/main">
                            <a:effectLst/>
                          </a14:hiddenEffects>
                        </a:ext>
                      </a:extLst>
                    </wps:spPr>
                    <wps:txbx>
                      <w:txbxContent>
                        <w:p w14:paraId="0DC51287" w14:textId="77777777" w:rsidR="00C42335" w:rsidRDefault="00C42335" w:rsidP="00E25A38">
                          <w:pPr>
                            <w:jc w:val="cente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F39722" id="_x0000_t202" coordsize="21600,21600" o:spt="202" path="m,l,21600r21600,l21600,xe">
              <v:stroke joinstyle="miter"/>
              <v:path gradientshapeok="t" o:connecttype="rect"/>
            </v:shapetype>
            <v:shape id="Text Box 1" o:spid="_x0000_s1026" type="#_x0000_t202" style="position:absolute;margin-left:14.65pt;margin-top:331.45pt;width:486.4pt;height:102.9pt;rotation:-242024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" filled="f" stroked="f">
              <o:lock v:ext="edit" shapetype="t"/>
              <v:textbox style="mso-fit-shape-to-text:t">
                <w:txbxContent>
                  <w:p w14:paraId="0DC51287" w14:textId="77777777" w:rsidR="00C42335" w:rsidRDefault="00C42335" w:rsidP="00E25A38">
                    <w:pPr>
                      <w:jc w:val="cente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8D3"/>
    <w:multiLevelType w:val="hybridMultilevel"/>
    <w:tmpl w:val="69FA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1785B"/>
    <w:multiLevelType w:val="hybridMultilevel"/>
    <w:tmpl w:val="2ACC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357E6"/>
    <w:multiLevelType w:val="hybridMultilevel"/>
    <w:tmpl w:val="15F8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D31FB"/>
    <w:multiLevelType w:val="hybridMultilevel"/>
    <w:tmpl w:val="E0F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67018"/>
    <w:multiLevelType w:val="hybridMultilevel"/>
    <w:tmpl w:val="6AD0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4527FB"/>
    <w:multiLevelType w:val="hybridMultilevel"/>
    <w:tmpl w:val="E8C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E2F14"/>
    <w:multiLevelType w:val="hybridMultilevel"/>
    <w:tmpl w:val="9C1ED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9F0E1C"/>
    <w:multiLevelType w:val="hybridMultilevel"/>
    <w:tmpl w:val="2554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34F35"/>
    <w:multiLevelType w:val="hybridMultilevel"/>
    <w:tmpl w:val="D37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67C59"/>
    <w:multiLevelType w:val="hybridMultilevel"/>
    <w:tmpl w:val="4FD4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85310"/>
    <w:multiLevelType w:val="hybridMultilevel"/>
    <w:tmpl w:val="ADCABC2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1" w15:restartNumberingAfterBreak="0">
    <w:nsid w:val="56BA52E8"/>
    <w:multiLevelType w:val="hybridMultilevel"/>
    <w:tmpl w:val="B3C8A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8E2CA7"/>
    <w:multiLevelType w:val="hybridMultilevel"/>
    <w:tmpl w:val="9AD8F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9D23B2"/>
    <w:multiLevelType w:val="hybridMultilevel"/>
    <w:tmpl w:val="09D6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77622"/>
    <w:multiLevelType w:val="hybridMultilevel"/>
    <w:tmpl w:val="0D246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1D004A"/>
    <w:multiLevelType w:val="hybridMultilevel"/>
    <w:tmpl w:val="AB06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2728E"/>
    <w:multiLevelType w:val="hybridMultilevel"/>
    <w:tmpl w:val="B4F2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72896"/>
    <w:multiLevelType w:val="hybridMultilevel"/>
    <w:tmpl w:val="6E12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797661">
    <w:abstractNumId w:val="1"/>
  </w:num>
  <w:num w:numId="2" w16cid:durableId="1603608884">
    <w:abstractNumId w:val="13"/>
  </w:num>
  <w:num w:numId="3" w16cid:durableId="699353555">
    <w:abstractNumId w:val="0"/>
  </w:num>
  <w:num w:numId="4" w16cid:durableId="2102023488">
    <w:abstractNumId w:val="6"/>
  </w:num>
  <w:num w:numId="5" w16cid:durableId="1071535952">
    <w:abstractNumId w:val="2"/>
  </w:num>
  <w:num w:numId="6" w16cid:durableId="160123775">
    <w:abstractNumId w:val="4"/>
  </w:num>
  <w:num w:numId="7" w16cid:durableId="1923876094">
    <w:abstractNumId w:val="12"/>
  </w:num>
  <w:num w:numId="8" w16cid:durableId="481849944">
    <w:abstractNumId w:val="3"/>
  </w:num>
  <w:num w:numId="9" w16cid:durableId="1092122287">
    <w:abstractNumId w:val="14"/>
  </w:num>
  <w:num w:numId="10" w16cid:durableId="1316956820">
    <w:abstractNumId w:val="11"/>
  </w:num>
  <w:num w:numId="11" w16cid:durableId="1991514834">
    <w:abstractNumId w:val="9"/>
  </w:num>
  <w:num w:numId="12" w16cid:durableId="1367876125">
    <w:abstractNumId w:val="10"/>
  </w:num>
  <w:num w:numId="13" w16cid:durableId="1246765021">
    <w:abstractNumId w:val="8"/>
  </w:num>
  <w:num w:numId="14" w16cid:durableId="2066097337">
    <w:abstractNumId w:val="5"/>
  </w:num>
  <w:num w:numId="15" w16cid:durableId="2026126831">
    <w:abstractNumId w:val="17"/>
  </w:num>
  <w:num w:numId="16" w16cid:durableId="298728983">
    <w:abstractNumId w:val="7"/>
  </w:num>
  <w:num w:numId="17" w16cid:durableId="1924096612">
    <w:abstractNumId w:val="15"/>
  </w:num>
  <w:num w:numId="18" w16cid:durableId="144496231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4D"/>
    <w:rsid w:val="00000F9D"/>
    <w:rsid w:val="000024FE"/>
    <w:rsid w:val="00002569"/>
    <w:rsid w:val="000031C4"/>
    <w:rsid w:val="00004896"/>
    <w:rsid w:val="000048E9"/>
    <w:rsid w:val="00004B67"/>
    <w:rsid w:val="00005B7E"/>
    <w:rsid w:val="00006780"/>
    <w:rsid w:val="0000763C"/>
    <w:rsid w:val="00007A7D"/>
    <w:rsid w:val="00010B51"/>
    <w:rsid w:val="00010C1C"/>
    <w:rsid w:val="00010D88"/>
    <w:rsid w:val="0001158A"/>
    <w:rsid w:val="00013023"/>
    <w:rsid w:val="00013AE8"/>
    <w:rsid w:val="0001487B"/>
    <w:rsid w:val="00014C7A"/>
    <w:rsid w:val="00015AEF"/>
    <w:rsid w:val="00016305"/>
    <w:rsid w:val="00017F41"/>
    <w:rsid w:val="00020481"/>
    <w:rsid w:val="00020748"/>
    <w:rsid w:val="00020D99"/>
    <w:rsid w:val="0002240A"/>
    <w:rsid w:val="0002481D"/>
    <w:rsid w:val="0002495F"/>
    <w:rsid w:val="00024C15"/>
    <w:rsid w:val="00025785"/>
    <w:rsid w:val="00030519"/>
    <w:rsid w:val="00030A45"/>
    <w:rsid w:val="00030B70"/>
    <w:rsid w:val="00031C2D"/>
    <w:rsid w:val="000328BD"/>
    <w:rsid w:val="000333BC"/>
    <w:rsid w:val="00034572"/>
    <w:rsid w:val="00036A52"/>
    <w:rsid w:val="0004203A"/>
    <w:rsid w:val="0004289B"/>
    <w:rsid w:val="00042F1F"/>
    <w:rsid w:val="000434F0"/>
    <w:rsid w:val="000509B0"/>
    <w:rsid w:val="000521CC"/>
    <w:rsid w:val="00052ACE"/>
    <w:rsid w:val="00052E3C"/>
    <w:rsid w:val="000542B9"/>
    <w:rsid w:val="00056D11"/>
    <w:rsid w:val="0006305B"/>
    <w:rsid w:val="000636A8"/>
    <w:rsid w:val="00064D43"/>
    <w:rsid w:val="00067E03"/>
    <w:rsid w:val="000717A7"/>
    <w:rsid w:val="00072109"/>
    <w:rsid w:val="000723C6"/>
    <w:rsid w:val="00072C9C"/>
    <w:rsid w:val="00072F6D"/>
    <w:rsid w:val="00073A41"/>
    <w:rsid w:val="00076CB7"/>
    <w:rsid w:val="00076F29"/>
    <w:rsid w:val="00077799"/>
    <w:rsid w:val="00080D0C"/>
    <w:rsid w:val="00082737"/>
    <w:rsid w:val="000829D1"/>
    <w:rsid w:val="00082C45"/>
    <w:rsid w:val="0008434A"/>
    <w:rsid w:val="00084680"/>
    <w:rsid w:val="0008552E"/>
    <w:rsid w:val="00086D40"/>
    <w:rsid w:val="00087BF0"/>
    <w:rsid w:val="000918CC"/>
    <w:rsid w:val="00092773"/>
    <w:rsid w:val="00094000"/>
    <w:rsid w:val="00094793"/>
    <w:rsid w:val="00095791"/>
    <w:rsid w:val="0009648F"/>
    <w:rsid w:val="00096665"/>
    <w:rsid w:val="00097FC2"/>
    <w:rsid w:val="000A144E"/>
    <w:rsid w:val="000A1CD2"/>
    <w:rsid w:val="000A2603"/>
    <w:rsid w:val="000A31C1"/>
    <w:rsid w:val="000A3A34"/>
    <w:rsid w:val="000A49DC"/>
    <w:rsid w:val="000A4BFA"/>
    <w:rsid w:val="000A5264"/>
    <w:rsid w:val="000A54C5"/>
    <w:rsid w:val="000A550C"/>
    <w:rsid w:val="000A589E"/>
    <w:rsid w:val="000A5962"/>
    <w:rsid w:val="000A6702"/>
    <w:rsid w:val="000A7318"/>
    <w:rsid w:val="000A7D21"/>
    <w:rsid w:val="000B0A4A"/>
    <w:rsid w:val="000B1A87"/>
    <w:rsid w:val="000B207E"/>
    <w:rsid w:val="000B3340"/>
    <w:rsid w:val="000B3DFF"/>
    <w:rsid w:val="000B491F"/>
    <w:rsid w:val="000B4BAE"/>
    <w:rsid w:val="000B51E3"/>
    <w:rsid w:val="000B55AE"/>
    <w:rsid w:val="000B5C8A"/>
    <w:rsid w:val="000B7EB0"/>
    <w:rsid w:val="000C23B2"/>
    <w:rsid w:val="000C3872"/>
    <w:rsid w:val="000C3AB1"/>
    <w:rsid w:val="000C3E43"/>
    <w:rsid w:val="000C4109"/>
    <w:rsid w:val="000C458B"/>
    <w:rsid w:val="000C4B49"/>
    <w:rsid w:val="000C512C"/>
    <w:rsid w:val="000C5A67"/>
    <w:rsid w:val="000C5DC2"/>
    <w:rsid w:val="000D2518"/>
    <w:rsid w:val="000D2BE2"/>
    <w:rsid w:val="000D2C36"/>
    <w:rsid w:val="000D2E64"/>
    <w:rsid w:val="000D3363"/>
    <w:rsid w:val="000D7D72"/>
    <w:rsid w:val="000E006D"/>
    <w:rsid w:val="000E00F7"/>
    <w:rsid w:val="000E3A61"/>
    <w:rsid w:val="000E3CBF"/>
    <w:rsid w:val="000E44CA"/>
    <w:rsid w:val="000E50DC"/>
    <w:rsid w:val="000E5FA7"/>
    <w:rsid w:val="000E71C2"/>
    <w:rsid w:val="000E7402"/>
    <w:rsid w:val="000E7AF0"/>
    <w:rsid w:val="000F01F3"/>
    <w:rsid w:val="000F09BA"/>
    <w:rsid w:val="000F145E"/>
    <w:rsid w:val="000F2DD3"/>
    <w:rsid w:val="000F6561"/>
    <w:rsid w:val="000F6C65"/>
    <w:rsid w:val="000F7209"/>
    <w:rsid w:val="000F731A"/>
    <w:rsid w:val="000F7817"/>
    <w:rsid w:val="000F7CFC"/>
    <w:rsid w:val="00100E3B"/>
    <w:rsid w:val="00101B6C"/>
    <w:rsid w:val="00106716"/>
    <w:rsid w:val="001073C2"/>
    <w:rsid w:val="00111028"/>
    <w:rsid w:val="00112413"/>
    <w:rsid w:val="00115430"/>
    <w:rsid w:val="00115D92"/>
    <w:rsid w:val="00116821"/>
    <w:rsid w:val="001172E0"/>
    <w:rsid w:val="00117424"/>
    <w:rsid w:val="001178EC"/>
    <w:rsid w:val="001179B1"/>
    <w:rsid w:val="00117BD5"/>
    <w:rsid w:val="00120E4D"/>
    <w:rsid w:val="0012186B"/>
    <w:rsid w:val="00123FA2"/>
    <w:rsid w:val="00124C1C"/>
    <w:rsid w:val="00125009"/>
    <w:rsid w:val="00126207"/>
    <w:rsid w:val="00126855"/>
    <w:rsid w:val="0012783D"/>
    <w:rsid w:val="00130E81"/>
    <w:rsid w:val="00132A00"/>
    <w:rsid w:val="0013361D"/>
    <w:rsid w:val="00135004"/>
    <w:rsid w:val="00137CBD"/>
    <w:rsid w:val="0014148F"/>
    <w:rsid w:val="00142DBE"/>
    <w:rsid w:val="00143137"/>
    <w:rsid w:val="00143918"/>
    <w:rsid w:val="00145CB9"/>
    <w:rsid w:val="00145FD8"/>
    <w:rsid w:val="00147B79"/>
    <w:rsid w:val="00147C71"/>
    <w:rsid w:val="0015246E"/>
    <w:rsid w:val="00152A10"/>
    <w:rsid w:val="00153298"/>
    <w:rsid w:val="00153F21"/>
    <w:rsid w:val="0015495B"/>
    <w:rsid w:val="00155A99"/>
    <w:rsid w:val="00157A90"/>
    <w:rsid w:val="00157B3A"/>
    <w:rsid w:val="00165B1A"/>
    <w:rsid w:val="00165D78"/>
    <w:rsid w:val="00165FB8"/>
    <w:rsid w:val="00167AC9"/>
    <w:rsid w:val="001729F1"/>
    <w:rsid w:val="00172A3F"/>
    <w:rsid w:val="0017605D"/>
    <w:rsid w:val="0018107D"/>
    <w:rsid w:val="00183299"/>
    <w:rsid w:val="0018445F"/>
    <w:rsid w:val="00185734"/>
    <w:rsid w:val="00187AA2"/>
    <w:rsid w:val="0019007C"/>
    <w:rsid w:val="001921E5"/>
    <w:rsid w:val="00195F8B"/>
    <w:rsid w:val="001962B4"/>
    <w:rsid w:val="00196A84"/>
    <w:rsid w:val="00196E07"/>
    <w:rsid w:val="001A08C5"/>
    <w:rsid w:val="001A1170"/>
    <w:rsid w:val="001A1505"/>
    <w:rsid w:val="001A16D5"/>
    <w:rsid w:val="001A1F50"/>
    <w:rsid w:val="001A22D8"/>
    <w:rsid w:val="001B3833"/>
    <w:rsid w:val="001B3926"/>
    <w:rsid w:val="001B46F3"/>
    <w:rsid w:val="001B517F"/>
    <w:rsid w:val="001B52C4"/>
    <w:rsid w:val="001B5862"/>
    <w:rsid w:val="001B75A8"/>
    <w:rsid w:val="001B776D"/>
    <w:rsid w:val="001C1550"/>
    <w:rsid w:val="001C175A"/>
    <w:rsid w:val="001C2D3C"/>
    <w:rsid w:val="001C4DCA"/>
    <w:rsid w:val="001C6010"/>
    <w:rsid w:val="001D030A"/>
    <w:rsid w:val="001D277C"/>
    <w:rsid w:val="001D33F4"/>
    <w:rsid w:val="001D5130"/>
    <w:rsid w:val="001D5874"/>
    <w:rsid w:val="001D5EE5"/>
    <w:rsid w:val="001D6A6F"/>
    <w:rsid w:val="001D7ECC"/>
    <w:rsid w:val="001E0720"/>
    <w:rsid w:val="001E116B"/>
    <w:rsid w:val="001E1BDF"/>
    <w:rsid w:val="001E3190"/>
    <w:rsid w:val="001E6A26"/>
    <w:rsid w:val="001E7C5E"/>
    <w:rsid w:val="001F1C86"/>
    <w:rsid w:val="001F30D5"/>
    <w:rsid w:val="001F345F"/>
    <w:rsid w:val="001F45FF"/>
    <w:rsid w:val="001F55D1"/>
    <w:rsid w:val="001F5C70"/>
    <w:rsid w:val="001F70BC"/>
    <w:rsid w:val="00200FB2"/>
    <w:rsid w:val="0020190A"/>
    <w:rsid w:val="00203B8A"/>
    <w:rsid w:val="00203F4A"/>
    <w:rsid w:val="00204535"/>
    <w:rsid w:val="002048B1"/>
    <w:rsid w:val="002049B4"/>
    <w:rsid w:val="00205540"/>
    <w:rsid w:val="002071A8"/>
    <w:rsid w:val="002079AC"/>
    <w:rsid w:val="0021291B"/>
    <w:rsid w:val="00213A11"/>
    <w:rsid w:val="00213AAC"/>
    <w:rsid w:val="00214C0D"/>
    <w:rsid w:val="00215451"/>
    <w:rsid w:val="00215D55"/>
    <w:rsid w:val="002163E1"/>
    <w:rsid w:val="0021738B"/>
    <w:rsid w:val="0022009A"/>
    <w:rsid w:val="00220297"/>
    <w:rsid w:val="002229B2"/>
    <w:rsid w:val="002253D9"/>
    <w:rsid w:val="002255C6"/>
    <w:rsid w:val="002272EA"/>
    <w:rsid w:val="0023023C"/>
    <w:rsid w:val="002337EB"/>
    <w:rsid w:val="00233B06"/>
    <w:rsid w:val="00233C67"/>
    <w:rsid w:val="0023441F"/>
    <w:rsid w:val="00234889"/>
    <w:rsid w:val="00236B65"/>
    <w:rsid w:val="002400C4"/>
    <w:rsid w:val="00241796"/>
    <w:rsid w:val="0024520A"/>
    <w:rsid w:val="00251442"/>
    <w:rsid w:val="00251BF6"/>
    <w:rsid w:val="00252262"/>
    <w:rsid w:val="00252393"/>
    <w:rsid w:val="00252E46"/>
    <w:rsid w:val="00252E5F"/>
    <w:rsid w:val="002537CE"/>
    <w:rsid w:val="00254311"/>
    <w:rsid w:val="00255BE3"/>
    <w:rsid w:val="00256925"/>
    <w:rsid w:val="002572C9"/>
    <w:rsid w:val="00260C9D"/>
    <w:rsid w:val="00260DFE"/>
    <w:rsid w:val="00261239"/>
    <w:rsid w:val="002616B2"/>
    <w:rsid w:val="00262322"/>
    <w:rsid w:val="00262774"/>
    <w:rsid w:val="00266E1C"/>
    <w:rsid w:val="00266F4E"/>
    <w:rsid w:val="0026702F"/>
    <w:rsid w:val="00276BC0"/>
    <w:rsid w:val="0027797C"/>
    <w:rsid w:val="00277A55"/>
    <w:rsid w:val="00277F60"/>
    <w:rsid w:val="00280654"/>
    <w:rsid w:val="00280F24"/>
    <w:rsid w:val="00280FBF"/>
    <w:rsid w:val="00284930"/>
    <w:rsid w:val="00285757"/>
    <w:rsid w:val="0028661E"/>
    <w:rsid w:val="002878DA"/>
    <w:rsid w:val="0029074F"/>
    <w:rsid w:val="002911A5"/>
    <w:rsid w:val="002913D2"/>
    <w:rsid w:val="00292DD2"/>
    <w:rsid w:val="0029417B"/>
    <w:rsid w:val="00294956"/>
    <w:rsid w:val="00294CF9"/>
    <w:rsid w:val="002957A8"/>
    <w:rsid w:val="0029668B"/>
    <w:rsid w:val="00296E1C"/>
    <w:rsid w:val="00297CF3"/>
    <w:rsid w:val="002A18DF"/>
    <w:rsid w:val="002A4EE6"/>
    <w:rsid w:val="002B0838"/>
    <w:rsid w:val="002B13A1"/>
    <w:rsid w:val="002C01F6"/>
    <w:rsid w:val="002C0782"/>
    <w:rsid w:val="002C26DD"/>
    <w:rsid w:val="002C2AE0"/>
    <w:rsid w:val="002C54A1"/>
    <w:rsid w:val="002D0165"/>
    <w:rsid w:val="002D29AB"/>
    <w:rsid w:val="002D2FF8"/>
    <w:rsid w:val="002D380A"/>
    <w:rsid w:val="002D554F"/>
    <w:rsid w:val="002E07B9"/>
    <w:rsid w:val="002E26AD"/>
    <w:rsid w:val="002E3B79"/>
    <w:rsid w:val="002E3D17"/>
    <w:rsid w:val="002E6EFC"/>
    <w:rsid w:val="002E74AB"/>
    <w:rsid w:val="002F0B87"/>
    <w:rsid w:val="002F0C72"/>
    <w:rsid w:val="002F16E9"/>
    <w:rsid w:val="002F1933"/>
    <w:rsid w:val="002F2EA6"/>
    <w:rsid w:val="002F421D"/>
    <w:rsid w:val="002F46EB"/>
    <w:rsid w:val="002F6B0A"/>
    <w:rsid w:val="002F6B46"/>
    <w:rsid w:val="002F7167"/>
    <w:rsid w:val="002F7364"/>
    <w:rsid w:val="002F7784"/>
    <w:rsid w:val="002F7792"/>
    <w:rsid w:val="002F783A"/>
    <w:rsid w:val="00301A0D"/>
    <w:rsid w:val="00301B2C"/>
    <w:rsid w:val="00302C2B"/>
    <w:rsid w:val="0030311A"/>
    <w:rsid w:val="00303FF5"/>
    <w:rsid w:val="003043DF"/>
    <w:rsid w:val="003072AD"/>
    <w:rsid w:val="0030784E"/>
    <w:rsid w:val="00307950"/>
    <w:rsid w:val="00310527"/>
    <w:rsid w:val="00313433"/>
    <w:rsid w:val="00313B93"/>
    <w:rsid w:val="00313F20"/>
    <w:rsid w:val="0031481B"/>
    <w:rsid w:val="00315772"/>
    <w:rsid w:val="00317552"/>
    <w:rsid w:val="00320F84"/>
    <w:rsid w:val="00322122"/>
    <w:rsid w:val="0032406A"/>
    <w:rsid w:val="00325709"/>
    <w:rsid w:val="00327907"/>
    <w:rsid w:val="00331095"/>
    <w:rsid w:val="00331556"/>
    <w:rsid w:val="00331EBA"/>
    <w:rsid w:val="003326D7"/>
    <w:rsid w:val="0033298F"/>
    <w:rsid w:val="00334187"/>
    <w:rsid w:val="00334E1E"/>
    <w:rsid w:val="00336511"/>
    <w:rsid w:val="00336634"/>
    <w:rsid w:val="00336DFB"/>
    <w:rsid w:val="00337453"/>
    <w:rsid w:val="00337500"/>
    <w:rsid w:val="0034198E"/>
    <w:rsid w:val="003422E9"/>
    <w:rsid w:val="00342C71"/>
    <w:rsid w:val="003432CE"/>
    <w:rsid w:val="003442C2"/>
    <w:rsid w:val="00345DBD"/>
    <w:rsid w:val="00345FEC"/>
    <w:rsid w:val="0034711C"/>
    <w:rsid w:val="00347F8E"/>
    <w:rsid w:val="00350A28"/>
    <w:rsid w:val="00350E2F"/>
    <w:rsid w:val="0035136B"/>
    <w:rsid w:val="003514D6"/>
    <w:rsid w:val="003519CF"/>
    <w:rsid w:val="00352718"/>
    <w:rsid w:val="00352746"/>
    <w:rsid w:val="0035323D"/>
    <w:rsid w:val="00355074"/>
    <w:rsid w:val="00355BBE"/>
    <w:rsid w:val="00355BFF"/>
    <w:rsid w:val="00356CC8"/>
    <w:rsid w:val="00356D1F"/>
    <w:rsid w:val="00357C96"/>
    <w:rsid w:val="00357D9C"/>
    <w:rsid w:val="0036087E"/>
    <w:rsid w:val="003615F7"/>
    <w:rsid w:val="003618EB"/>
    <w:rsid w:val="00362DD4"/>
    <w:rsid w:val="00363278"/>
    <w:rsid w:val="0036329D"/>
    <w:rsid w:val="00363668"/>
    <w:rsid w:val="00363AF5"/>
    <w:rsid w:val="00364098"/>
    <w:rsid w:val="00367970"/>
    <w:rsid w:val="00371CBA"/>
    <w:rsid w:val="003738D4"/>
    <w:rsid w:val="00375499"/>
    <w:rsid w:val="00377E71"/>
    <w:rsid w:val="00377E8B"/>
    <w:rsid w:val="0038029A"/>
    <w:rsid w:val="00382540"/>
    <w:rsid w:val="0038298B"/>
    <w:rsid w:val="00384EF1"/>
    <w:rsid w:val="00386B67"/>
    <w:rsid w:val="00393DF4"/>
    <w:rsid w:val="00395FFF"/>
    <w:rsid w:val="0039679F"/>
    <w:rsid w:val="0039723C"/>
    <w:rsid w:val="00397D5B"/>
    <w:rsid w:val="003A0B59"/>
    <w:rsid w:val="003A0D09"/>
    <w:rsid w:val="003A4D9C"/>
    <w:rsid w:val="003A54D6"/>
    <w:rsid w:val="003B1A72"/>
    <w:rsid w:val="003B260B"/>
    <w:rsid w:val="003B273B"/>
    <w:rsid w:val="003B2A35"/>
    <w:rsid w:val="003B3944"/>
    <w:rsid w:val="003B3C46"/>
    <w:rsid w:val="003B3DE9"/>
    <w:rsid w:val="003B4F93"/>
    <w:rsid w:val="003B614D"/>
    <w:rsid w:val="003B66BD"/>
    <w:rsid w:val="003C347A"/>
    <w:rsid w:val="003C3B2E"/>
    <w:rsid w:val="003C4502"/>
    <w:rsid w:val="003C572F"/>
    <w:rsid w:val="003C6157"/>
    <w:rsid w:val="003C757D"/>
    <w:rsid w:val="003D192D"/>
    <w:rsid w:val="003D204B"/>
    <w:rsid w:val="003D27EF"/>
    <w:rsid w:val="003D2B99"/>
    <w:rsid w:val="003D2C88"/>
    <w:rsid w:val="003D4183"/>
    <w:rsid w:val="003D54CE"/>
    <w:rsid w:val="003D6564"/>
    <w:rsid w:val="003D7536"/>
    <w:rsid w:val="003E048F"/>
    <w:rsid w:val="003E09F3"/>
    <w:rsid w:val="003E3F6F"/>
    <w:rsid w:val="003E537F"/>
    <w:rsid w:val="003E5EAD"/>
    <w:rsid w:val="003E74BB"/>
    <w:rsid w:val="003F03B0"/>
    <w:rsid w:val="003F0667"/>
    <w:rsid w:val="003F11D7"/>
    <w:rsid w:val="003F26C6"/>
    <w:rsid w:val="003F29F7"/>
    <w:rsid w:val="003F2C1E"/>
    <w:rsid w:val="00401F95"/>
    <w:rsid w:val="00404DDF"/>
    <w:rsid w:val="0040514D"/>
    <w:rsid w:val="00405DDD"/>
    <w:rsid w:val="00407BD2"/>
    <w:rsid w:val="00411451"/>
    <w:rsid w:val="00413BB0"/>
    <w:rsid w:val="00413C79"/>
    <w:rsid w:val="00414504"/>
    <w:rsid w:val="00414555"/>
    <w:rsid w:val="00414944"/>
    <w:rsid w:val="00415B3C"/>
    <w:rsid w:val="004168E2"/>
    <w:rsid w:val="00420A3F"/>
    <w:rsid w:val="004216B7"/>
    <w:rsid w:val="004218E8"/>
    <w:rsid w:val="00421A09"/>
    <w:rsid w:val="00422361"/>
    <w:rsid w:val="0042381B"/>
    <w:rsid w:val="00423A17"/>
    <w:rsid w:val="00424A1B"/>
    <w:rsid w:val="004251DA"/>
    <w:rsid w:val="0042617D"/>
    <w:rsid w:val="00426BB5"/>
    <w:rsid w:val="004271D9"/>
    <w:rsid w:val="00431029"/>
    <w:rsid w:val="0043140E"/>
    <w:rsid w:val="00432B34"/>
    <w:rsid w:val="00433E32"/>
    <w:rsid w:val="00435CBB"/>
    <w:rsid w:val="00436A29"/>
    <w:rsid w:val="00436C60"/>
    <w:rsid w:val="00437230"/>
    <w:rsid w:val="00437488"/>
    <w:rsid w:val="00437EEA"/>
    <w:rsid w:val="004406A3"/>
    <w:rsid w:val="00441014"/>
    <w:rsid w:val="004422BF"/>
    <w:rsid w:val="00442392"/>
    <w:rsid w:val="00443154"/>
    <w:rsid w:val="00445F45"/>
    <w:rsid w:val="00450E77"/>
    <w:rsid w:val="00451955"/>
    <w:rsid w:val="00452444"/>
    <w:rsid w:val="00452773"/>
    <w:rsid w:val="00452871"/>
    <w:rsid w:val="00453F4B"/>
    <w:rsid w:val="004547BA"/>
    <w:rsid w:val="00454C92"/>
    <w:rsid w:val="0045621A"/>
    <w:rsid w:val="00456664"/>
    <w:rsid w:val="00457BE5"/>
    <w:rsid w:val="00462E8F"/>
    <w:rsid w:val="00463388"/>
    <w:rsid w:val="00463DA9"/>
    <w:rsid w:val="0046633A"/>
    <w:rsid w:val="00470882"/>
    <w:rsid w:val="00473BCD"/>
    <w:rsid w:val="00475A02"/>
    <w:rsid w:val="004767A8"/>
    <w:rsid w:val="00480BD4"/>
    <w:rsid w:val="00481160"/>
    <w:rsid w:val="00481CBB"/>
    <w:rsid w:val="004820DE"/>
    <w:rsid w:val="004838C9"/>
    <w:rsid w:val="004844D6"/>
    <w:rsid w:val="0048460F"/>
    <w:rsid w:val="004847B8"/>
    <w:rsid w:val="004848AB"/>
    <w:rsid w:val="00485B33"/>
    <w:rsid w:val="004864AC"/>
    <w:rsid w:val="004869F5"/>
    <w:rsid w:val="004911B1"/>
    <w:rsid w:val="00492463"/>
    <w:rsid w:val="0049390D"/>
    <w:rsid w:val="004952C3"/>
    <w:rsid w:val="004958B0"/>
    <w:rsid w:val="00496ECF"/>
    <w:rsid w:val="004A2059"/>
    <w:rsid w:val="004A475A"/>
    <w:rsid w:val="004A581D"/>
    <w:rsid w:val="004A6FA4"/>
    <w:rsid w:val="004B1A20"/>
    <w:rsid w:val="004B1A4D"/>
    <w:rsid w:val="004B3D18"/>
    <w:rsid w:val="004B3D92"/>
    <w:rsid w:val="004B4371"/>
    <w:rsid w:val="004B5E50"/>
    <w:rsid w:val="004B6F77"/>
    <w:rsid w:val="004C2075"/>
    <w:rsid w:val="004C2456"/>
    <w:rsid w:val="004C3B6F"/>
    <w:rsid w:val="004C3B83"/>
    <w:rsid w:val="004C44C7"/>
    <w:rsid w:val="004C610D"/>
    <w:rsid w:val="004C6C92"/>
    <w:rsid w:val="004C7241"/>
    <w:rsid w:val="004C736C"/>
    <w:rsid w:val="004C7F27"/>
    <w:rsid w:val="004D01A2"/>
    <w:rsid w:val="004D201A"/>
    <w:rsid w:val="004D283F"/>
    <w:rsid w:val="004E0384"/>
    <w:rsid w:val="004E23DA"/>
    <w:rsid w:val="004E2BF0"/>
    <w:rsid w:val="004E2E56"/>
    <w:rsid w:val="004E3632"/>
    <w:rsid w:val="004E3ED0"/>
    <w:rsid w:val="004F021B"/>
    <w:rsid w:val="004F0B94"/>
    <w:rsid w:val="004F0DD4"/>
    <w:rsid w:val="004F1767"/>
    <w:rsid w:val="004F1B1F"/>
    <w:rsid w:val="004F3AA5"/>
    <w:rsid w:val="004F5F2F"/>
    <w:rsid w:val="004F66D7"/>
    <w:rsid w:val="004F749A"/>
    <w:rsid w:val="004F7F9A"/>
    <w:rsid w:val="0050034F"/>
    <w:rsid w:val="0050042B"/>
    <w:rsid w:val="00501268"/>
    <w:rsid w:val="005049DE"/>
    <w:rsid w:val="005050D7"/>
    <w:rsid w:val="00505743"/>
    <w:rsid w:val="005060EE"/>
    <w:rsid w:val="00510B93"/>
    <w:rsid w:val="00510C7C"/>
    <w:rsid w:val="00511F91"/>
    <w:rsid w:val="00512B1A"/>
    <w:rsid w:val="00516D51"/>
    <w:rsid w:val="0052238F"/>
    <w:rsid w:val="00522B46"/>
    <w:rsid w:val="00523EDC"/>
    <w:rsid w:val="005240F7"/>
    <w:rsid w:val="005242AE"/>
    <w:rsid w:val="005244B6"/>
    <w:rsid w:val="005249E5"/>
    <w:rsid w:val="00524DAB"/>
    <w:rsid w:val="005269EB"/>
    <w:rsid w:val="00527C21"/>
    <w:rsid w:val="0053046A"/>
    <w:rsid w:val="00532C1A"/>
    <w:rsid w:val="00533120"/>
    <w:rsid w:val="00537C48"/>
    <w:rsid w:val="00540EF7"/>
    <w:rsid w:val="00542758"/>
    <w:rsid w:val="005437F3"/>
    <w:rsid w:val="005503B3"/>
    <w:rsid w:val="00553A3F"/>
    <w:rsid w:val="00553CAE"/>
    <w:rsid w:val="00554FB3"/>
    <w:rsid w:val="00556ACC"/>
    <w:rsid w:val="005610AE"/>
    <w:rsid w:val="00570124"/>
    <w:rsid w:val="005702C7"/>
    <w:rsid w:val="00571281"/>
    <w:rsid w:val="00571B4E"/>
    <w:rsid w:val="00573973"/>
    <w:rsid w:val="00573E3E"/>
    <w:rsid w:val="005758A9"/>
    <w:rsid w:val="00576D18"/>
    <w:rsid w:val="00577C25"/>
    <w:rsid w:val="00581074"/>
    <w:rsid w:val="00583DB3"/>
    <w:rsid w:val="00584138"/>
    <w:rsid w:val="0058675C"/>
    <w:rsid w:val="00586A0D"/>
    <w:rsid w:val="00587E6E"/>
    <w:rsid w:val="0059152E"/>
    <w:rsid w:val="00592AAA"/>
    <w:rsid w:val="00594AA7"/>
    <w:rsid w:val="00595543"/>
    <w:rsid w:val="005967D0"/>
    <w:rsid w:val="005968E1"/>
    <w:rsid w:val="0059714C"/>
    <w:rsid w:val="005A2141"/>
    <w:rsid w:val="005A41F8"/>
    <w:rsid w:val="005A5058"/>
    <w:rsid w:val="005A6791"/>
    <w:rsid w:val="005A6C3C"/>
    <w:rsid w:val="005A72E6"/>
    <w:rsid w:val="005B1F19"/>
    <w:rsid w:val="005B3449"/>
    <w:rsid w:val="005B36D9"/>
    <w:rsid w:val="005B3FF8"/>
    <w:rsid w:val="005B5FDB"/>
    <w:rsid w:val="005B68F9"/>
    <w:rsid w:val="005B6965"/>
    <w:rsid w:val="005B6F6E"/>
    <w:rsid w:val="005B7CB4"/>
    <w:rsid w:val="005C055C"/>
    <w:rsid w:val="005C065C"/>
    <w:rsid w:val="005C1670"/>
    <w:rsid w:val="005C33F9"/>
    <w:rsid w:val="005C3FD9"/>
    <w:rsid w:val="005C444F"/>
    <w:rsid w:val="005C5976"/>
    <w:rsid w:val="005C5B07"/>
    <w:rsid w:val="005C5B71"/>
    <w:rsid w:val="005C5F8E"/>
    <w:rsid w:val="005C79F8"/>
    <w:rsid w:val="005C7DB5"/>
    <w:rsid w:val="005D1054"/>
    <w:rsid w:val="005D1A8B"/>
    <w:rsid w:val="005D2356"/>
    <w:rsid w:val="005D2393"/>
    <w:rsid w:val="005D245F"/>
    <w:rsid w:val="005D4938"/>
    <w:rsid w:val="005D611A"/>
    <w:rsid w:val="005D7D25"/>
    <w:rsid w:val="005E0EF1"/>
    <w:rsid w:val="005E1893"/>
    <w:rsid w:val="005E2505"/>
    <w:rsid w:val="005E3D78"/>
    <w:rsid w:val="005E4647"/>
    <w:rsid w:val="005E49BB"/>
    <w:rsid w:val="005E50DF"/>
    <w:rsid w:val="005E96B8"/>
    <w:rsid w:val="005F2B39"/>
    <w:rsid w:val="005F2F00"/>
    <w:rsid w:val="005F40E4"/>
    <w:rsid w:val="005F5F67"/>
    <w:rsid w:val="005F7FEC"/>
    <w:rsid w:val="00600A24"/>
    <w:rsid w:val="00603AE6"/>
    <w:rsid w:val="00605A83"/>
    <w:rsid w:val="0060689F"/>
    <w:rsid w:val="006100F8"/>
    <w:rsid w:val="00610F4F"/>
    <w:rsid w:val="00612241"/>
    <w:rsid w:val="006125D3"/>
    <w:rsid w:val="00613B74"/>
    <w:rsid w:val="00614CF5"/>
    <w:rsid w:val="00614CFF"/>
    <w:rsid w:val="00615CB0"/>
    <w:rsid w:val="00616096"/>
    <w:rsid w:val="00616125"/>
    <w:rsid w:val="00616247"/>
    <w:rsid w:val="006174DD"/>
    <w:rsid w:val="006216F4"/>
    <w:rsid w:val="0062511A"/>
    <w:rsid w:val="0062604C"/>
    <w:rsid w:val="00630194"/>
    <w:rsid w:val="006303E0"/>
    <w:rsid w:val="006310FF"/>
    <w:rsid w:val="006328FB"/>
    <w:rsid w:val="006329E1"/>
    <w:rsid w:val="00632B74"/>
    <w:rsid w:val="00635E50"/>
    <w:rsid w:val="00635FFD"/>
    <w:rsid w:val="00641F68"/>
    <w:rsid w:val="00643094"/>
    <w:rsid w:val="006430DD"/>
    <w:rsid w:val="00644A13"/>
    <w:rsid w:val="00646321"/>
    <w:rsid w:val="006465EE"/>
    <w:rsid w:val="00646827"/>
    <w:rsid w:val="006475D6"/>
    <w:rsid w:val="00650C0D"/>
    <w:rsid w:val="006528F5"/>
    <w:rsid w:val="00653370"/>
    <w:rsid w:val="006534DF"/>
    <w:rsid w:val="0065373C"/>
    <w:rsid w:val="00654642"/>
    <w:rsid w:val="0065612C"/>
    <w:rsid w:val="006565AC"/>
    <w:rsid w:val="006568B9"/>
    <w:rsid w:val="00656AAF"/>
    <w:rsid w:val="006570B2"/>
    <w:rsid w:val="00660F4B"/>
    <w:rsid w:val="00661183"/>
    <w:rsid w:val="0066202C"/>
    <w:rsid w:val="00662870"/>
    <w:rsid w:val="0066301F"/>
    <w:rsid w:val="00666AA3"/>
    <w:rsid w:val="00667D38"/>
    <w:rsid w:val="006727F5"/>
    <w:rsid w:val="00672FAC"/>
    <w:rsid w:val="006734F4"/>
    <w:rsid w:val="00673C95"/>
    <w:rsid w:val="006747AE"/>
    <w:rsid w:val="00677A41"/>
    <w:rsid w:val="00680886"/>
    <w:rsid w:val="006812F2"/>
    <w:rsid w:val="00682120"/>
    <w:rsid w:val="0068221A"/>
    <w:rsid w:val="006832E0"/>
    <w:rsid w:val="00692D86"/>
    <w:rsid w:val="00692F44"/>
    <w:rsid w:val="0069329D"/>
    <w:rsid w:val="00693852"/>
    <w:rsid w:val="0069429C"/>
    <w:rsid w:val="00694780"/>
    <w:rsid w:val="00695FDC"/>
    <w:rsid w:val="00697C10"/>
    <w:rsid w:val="00697FD7"/>
    <w:rsid w:val="006A0140"/>
    <w:rsid w:val="006A0270"/>
    <w:rsid w:val="006A1295"/>
    <w:rsid w:val="006A5CB2"/>
    <w:rsid w:val="006A60BF"/>
    <w:rsid w:val="006B0B70"/>
    <w:rsid w:val="006C14D4"/>
    <w:rsid w:val="006C2B11"/>
    <w:rsid w:val="006C349F"/>
    <w:rsid w:val="006C3C4A"/>
    <w:rsid w:val="006C48BF"/>
    <w:rsid w:val="006C4B7B"/>
    <w:rsid w:val="006C564B"/>
    <w:rsid w:val="006C78B0"/>
    <w:rsid w:val="006D01F3"/>
    <w:rsid w:val="006D07E9"/>
    <w:rsid w:val="006D1734"/>
    <w:rsid w:val="006D26DF"/>
    <w:rsid w:val="006D5B97"/>
    <w:rsid w:val="006E47CC"/>
    <w:rsid w:val="006E5133"/>
    <w:rsid w:val="006E5BDA"/>
    <w:rsid w:val="006E5D26"/>
    <w:rsid w:val="006E5FD4"/>
    <w:rsid w:val="006F0585"/>
    <w:rsid w:val="006F1017"/>
    <w:rsid w:val="006F1BBA"/>
    <w:rsid w:val="006F1E6C"/>
    <w:rsid w:val="006F2223"/>
    <w:rsid w:val="006F4CB5"/>
    <w:rsid w:val="006F53B0"/>
    <w:rsid w:val="006F67E7"/>
    <w:rsid w:val="006F7B63"/>
    <w:rsid w:val="00701BBB"/>
    <w:rsid w:val="00705716"/>
    <w:rsid w:val="00705F28"/>
    <w:rsid w:val="00707FEA"/>
    <w:rsid w:val="00711DB1"/>
    <w:rsid w:val="007145E8"/>
    <w:rsid w:val="00715692"/>
    <w:rsid w:val="00722B57"/>
    <w:rsid w:val="00723DB5"/>
    <w:rsid w:val="00724B1A"/>
    <w:rsid w:val="00726313"/>
    <w:rsid w:val="00727396"/>
    <w:rsid w:val="00731366"/>
    <w:rsid w:val="00731ED8"/>
    <w:rsid w:val="007320CB"/>
    <w:rsid w:val="007324C0"/>
    <w:rsid w:val="00733B91"/>
    <w:rsid w:val="00736115"/>
    <w:rsid w:val="007367A0"/>
    <w:rsid w:val="0074142F"/>
    <w:rsid w:val="00742952"/>
    <w:rsid w:val="00742E98"/>
    <w:rsid w:val="0074303C"/>
    <w:rsid w:val="007450F1"/>
    <w:rsid w:val="00745AE7"/>
    <w:rsid w:val="0074787D"/>
    <w:rsid w:val="00751F62"/>
    <w:rsid w:val="00752B95"/>
    <w:rsid w:val="00753491"/>
    <w:rsid w:val="007535FF"/>
    <w:rsid w:val="007546A6"/>
    <w:rsid w:val="00754DD1"/>
    <w:rsid w:val="00755439"/>
    <w:rsid w:val="007572CE"/>
    <w:rsid w:val="00760663"/>
    <w:rsid w:val="00760A15"/>
    <w:rsid w:val="007617D4"/>
    <w:rsid w:val="0076288E"/>
    <w:rsid w:val="00770519"/>
    <w:rsid w:val="00770EF5"/>
    <w:rsid w:val="00772919"/>
    <w:rsid w:val="00772C2B"/>
    <w:rsid w:val="00776044"/>
    <w:rsid w:val="007816FE"/>
    <w:rsid w:val="00782341"/>
    <w:rsid w:val="00783526"/>
    <w:rsid w:val="007844CD"/>
    <w:rsid w:val="00785532"/>
    <w:rsid w:val="00786DB3"/>
    <w:rsid w:val="007877A0"/>
    <w:rsid w:val="00787E00"/>
    <w:rsid w:val="00791855"/>
    <w:rsid w:val="00793862"/>
    <w:rsid w:val="00793A5F"/>
    <w:rsid w:val="00794641"/>
    <w:rsid w:val="007950DD"/>
    <w:rsid w:val="00796045"/>
    <w:rsid w:val="00796B4C"/>
    <w:rsid w:val="00797376"/>
    <w:rsid w:val="007A0035"/>
    <w:rsid w:val="007A0F1B"/>
    <w:rsid w:val="007A1129"/>
    <w:rsid w:val="007A1501"/>
    <w:rsid w:val="007A1901"/>
    <w:rsid w:val="007A1912"/>
    <w:rsid w:val="007A29A8"/>
    <w:rsid w:val="007A2D14"/>
    <w:rsid w:val="007A3B1F"/>
    <w:rsid w:val="007A41C8"/>
    <w:rsid w:val="007A4482"/>
    <w:rsid w:val="007A4EAC"/>
    <w:rsid w:val="007A5781"/>
    <w:rsid w:val="007A581C"/>
    <w:rsid w:val="007A74C2"/>
    <w:rsid w:val="007A75AD"/>
    <w:rsid w:val="007B089E"/>
    <w:rsid w:val="007B0E79"/>
    <w:rsid w:val="007B18D9"/>
    <w:rsid w:val="007B4092"/>
    <w:rsid w:val="007B6828"/>
    <w:rsid w:val="007B7A73"/>
    <w:rsid w:val="007B7BAC"/>
    <w:rsid w:val="007B7E9B"/>
    <w:rsid w:val="007C31B5"/>
    <w:rsid w:val="007C344D"/>
    <w:rsid w:val="007C352D"/>
    <w:rsid w:val="007C38FE"/>
    <w:rsid w:val="007C3BBF"/>
    <w:rsid w:val="007C414C"/>
    <w:rsid w:val="007C4804"/>
    <w:rsid w:val="007C4C5A"/>
    <w:rsid w:val="007C6042"/>
    <w:rsid w:val="007C6085"/>
    <w:rsid w:val="007C6430"/>
    <w:rsid w:val="007C6BAA"/>
    <w:rsid w:val="007C73F3"/>
    <w:rsid w:val="007C7FC5"/>
    <w:rsid w:val="007D1688"/>
    <w:rsid w:val="007D1C20"/>
    <w:rsid w:val="007D1FEF"/>
    <w:rsid w:val="007D20F1"/>
    <w:rsid w:val="007D2492"/>
    <w:rsid w:val="007D4462"/>
    <w:rsid w:val="007D45D7"/>
    <w:rsid w:val="007D51BB"/>
    <w:rsid w:val="007D65B8"/>
    <w:rsid w:val="007D6A00"/>
    <w:rsid w:val="007D7150"/>
    <w:rsid w:val="007D7BDC"/>
    <w:rsid w:val="007E0C7D"/>
    <w:rsid w:val="007E2229"/>
    <w:rsid w:val="007E27F5"/>
    <w:rsid w:val="007E2FAC"/>
    <w:rsid w:val="007E43BD"/>
    <w:rsid w:val="007E4C8A"/>
    <w:rsid w:val="007F029D"/>
    <w:rsid w:val="007F02FB"/>
    <w:rsid w:val="007F070D"/>
    <w:rsid w:val="007F10B9"/>
    <w:rsid w:val="007F3702"/>
    <w:rsid w:val="007F42D4"/>
    <w:rsid w:val="007F5F5F"/>
    <w:rsid w:val="007F6C9C"/>
    <w:rsid w:val="00803310"/>
    <w:rsid w:val="00803C84"/>
    <w:rsid w:val="00803E32"/>
    <w:rsid w:val="00804882"/>
    <w:rsid w:val="00806A12"/>
    <w:rsid w:val="00806A22"/>
    <w:rsid w:val="0080704D"/>
    <w:rsid w:val="00814F67"/>
    <w:rsid w:val="008152A5"/>
    <w:rsid w:val="00815655"/>
    <w:rsid w:val="00815991"/>
    <w:rsid w:val="00815DA7"/>
    <w:rsid w:val="00817674"/>
    <w:rsid w:val="00817CA0"/>
    <w:rsid w:val="00820365"/>
    <w:rsid w:val="0082206C"/>
    <w:rsid w:val="00822C12"/>
    <w:rsid w:val="00823ACA"/>
    <w:rsid w:val="008249EA"/>
    <w:rsid w:val="00827640"/>
    <w:rsid w:val="0083018B"/>
    <w:rsid w:val="00836D3C"/>
    <w:rsid w:val="00837C2B"/>
    <w:rsid w:val="008414C0"/>
    <w:rsid w:val="00842929"/>
    <w:rsid w:val="008441BE"/>
    <w:rsid w:val="00845101"/>
    <w:rsid w:val="00846013"/>
    <w:rsid w:val="008465E5"/>
    <w:rsid w:val="0085381F"/>
    <w:rsid w:val="008555B9"/>
    <w:rsid w:val="00856E12"/>
    <w:rsid w:val="00857C23"/>
    <w:rsid w:val="00857D4A"/>
    <w:rsid w:val="008601E1"/>
    <w:rsid w:val="00861945"/>
    <w:rsid w:val="00861D47"/>
    <w:rsid w:val="0086219E"/>
    <w:rsid w:val="00862FAB"/>
    <w:rsid w:val="008655D6"/>
    <w:rsid w:val="0086646A"/>
    <w:rsid w:val="00866B41"/>
    <w:rsid w:val="00866E9E"/>
    <w:rsid w:val="00866F9D"/>
    <w:rsid w:val="00870039"/>
    <w:rsid w:val="00870BDA"/>
    <w:rsid w:val="0087143A"/>
    <w:rsid w:val="0087159B"/>
    <w:rsid w:val="00871B38"/>
    <w:rsid w:val="00872A53"/>
    <w:rsid w:val="00873291"/>
    <w:rsid w:val="00874B8B"/>
    <w:rsid w:val="00875D90"/>
    <w:rsid w:val="00876DA6"/>
    <w:rsid w:val="008801A1"/>
    <w:rsid w:val="00880B0C"/>
    <w:rsid w:val="008816F2"/>
    <w:rsid w:val="00883AF9"/>
    <w:rsid w:val="00883CFD"/>
    <w:rsid w:val="00884266"/>
    <w:rsid w:val="0088645E"/>
    <w:rsid w:val="00886FF0"/>
    <w:rsid w:val="00887E43"/>
    <w:rsid w:val="0089371A"/>
    <w:rsid w:val="008937A7"/>
    <w:rsid w:val="00893FBA"/>
    <w:rsid w:val="0089435F"/>
    <w:rsid w:val="0089457D"/>
    <w:rsid w:val="008953CD"/>
    <w:rsid w:val="0089624F"/>
    <w:rsid w:val="00897781"/>
    <w:rsid w:val="008A0389"/>
    <w:rsid w:val="008A2849"/>
    <w:rsid w:val="008A5829"/>
    <w:rsid w:val="008A627D"/>
    <w:rsid w:val="008A65C3"/>
    <w:rsid w:val="008B0B31"/>
    <w:rsid w:val="008B18CC"/>
    <w:rsid w:val="008B2134"/>
    <w:rsid w:val="008B4D3A"/>
    <w:rsid w:val="008B4EF9"/>
    <w:rsid w:val="008B4F7B"/>
    <w:rsid w:val="008B6B51"/>
    <w:rsid w:val="008B6C1F"/>
    <w:rsid w:val="008B75B5"/>
    <w:rsid w:val="008B7F61"/>
    <w:rsid w:val="008C01FB"/>
    <w:rsid w:val="008C1730"/>
    <w:rsid w:val="008C2EA1"/>
    <w:rsid w:val="008C4269"/>
    <w:rsid w:val="008C43C6"/>
    <w:rsid w:val="008C43FB"/>
    <w:rsid w:val="008C4C46"/>
    <w:rsid w:val="008C5A7B"/>
    <w:rsid w:val="008C5DAB"/>
    <w:rsid w:val="008C6800"/>
    <w:rsid w:val="008C728E"/>
    <w:rsid w:val="008C7990"/>
    <w:rsid w:val="008C7E4C"/>
    <w:rsid w:val="008D07D6"/>
    <w:rsid w:val="008D17CD"/>
    <w:rsid w:val="008D21CA"/>
    <w:rsid w:val="008D2C59"/>
    <w:rsid w:val="008D38C6"/>
    <w:rsid w:val="008D38DB"/>
    <w:rsid w:val="008D5472"/>
    <w:rsid w:val="008D5F4C"/>
    <w:rsid w:val="008D6E20"/>
    <w:rsid w:val="008E08D1"/>
    <w:rsid w:val="008E1A33"/>
    <w:rsid w:val="008E1F74"/>
    <w:rsid w:val="008E2196"/>
    <w:rsid w:val="008E48FF"/>
    <w:rsid w:val="008E511F"/>
    <w:rsid w:val="008E70B4"/>
    <w:rsid w:val="008E7261"/>
    <w:rsid w:val="008F099F"/>
    <w:rsid w:val="008F15C2"/>
    <w:rsid w:val="008F2A98"/>
    <w:rsid w:val="008F461C"/>
    <w:rsid w:val="008F63DE"/>
    <w:rsid w:val="008F6580"/>
    <w:rsid w:val="008F6C1F"/>
    <w:rsid w:val="00900F5E"/>
    <w:rsid w:val="00902403"/>
    <w:rsid w:val="0090321F"/>
    <w:rsid w:val="00904E47"/>
    <w:rsid w:val="00905DC5"/>
    <w:rsid w:val="009065EB"/>
    <w:rsid w:val="009102C8"/>
    <w:rsid w:val="00910EEA"/>
    <w:rsid w:val="009111A5"/>
    <w:rsid w:val="00912B56"/>
    <w:rsid w:val="00915505"/>
    <w:rsid w:val="00917B29"/>
    <w:rsid w:val="009213AA"/>
    <w:rsid w:val="009225E6"/>
    <w:rsid w:val="00923A5B"/>
    <w:rsid w:val="0092488F"/>
    <w:rsid w:val="00924FC4"/>
    <w:rsid w:val="00927175"/>
    <w:rsid w:val="00927432"/>
    <w:rsid w:val="00927CF6"/>
    <w:rsid w:val="00927D89"/>
    <w:rsid w:val="00930342"/>
    <w:rsid w:val="00932601"/>
    <w:rsid w:val="00932E31"/>
    <w:rsid w:val="00934188"/>
    <w:rsid w:val="00934B80"/>
    <w:rsid w:val="00935475"/>
    <w:rsid w:val="009357D5"/>
    <w:rsid w:val="00936FE2"/>
    <w:rsid w:val="00937566"/>
    <w:rsid w:val="009403F9"/>
    <w:rsid w:val="009416C9"/>
    <w:rsid w:val="00941A86"/>
    <w:rsid w:val="0094297B"/>
    <w:rsid w:val="00942BE3"/>
    <w:rsid w:val="009462DD"/>
    <w:rsid w:val="00953A15"/>
    <w:rsid w:val="00954E5D"/>
    <w:rsid w:val="00955C53"/>
    <w:rsid w:val="00955CB9"/>
    <w:rsid w:val="00956AD3"/>
    <w:rsid w:val="00956C7A"/>
    <w:rsid w:val="00957425"/>
    <w:rsid w:val="009624B7"/>
    <w:rsid w:val="00963918"/>
    <w:rsid w:val="0096492B"/>
    <w:rsid w:val="009657C0"/>
    <w:rsid w:val="009704AF"/>
    <w:rsid w:val="0097375D"/>
    <w:rsid w:val="00975B12"/>
    <w:rsid w:val="009806EE"/>
    <w:rsid w:val="0098407A"/>
    <w:rsid w:val="0098444D"/>
    <w:rsid w:val="00987408"/>
    <w:rsid w:val="00991CD9"/>
    <w:rsid w:val="00994228"/>
    <w:rsid w:val="00994EF4"/>
    <w:rsid w:val="00997C02"/>
    <w:rsid w:val="009A152A"/>
    <w:rsid w:val="009A1ABF"/>
    <w:rsid w:val="009A2865"/>
    <w:rsid w:val="009A44A3"/>
    <w:rsid w:val="009A5DAD"/>
    <w:rsid w:val="009A5EE6"/>
    <w:rsid w:val="009A70CC"/>
    <w:rsid w:val="009A7353"/>
    <w:rsid w:val="009A78B3"/>
    <w:rsid w:val="009A7931"/>
    <w:rsid w:val="009B195B"/>
    <w:rsid w:val="009B3FFA"/>
    <w:rsid w:val="009B4159"/>
    <w:rsid w:val="009B53C4"/>
    <w:rsid w:val="009B55EF"/>
    <w:rsid w:val="009B5DA6"/>
    <w:rsid w:val="009C03B2"/>
    <w:rsid w:val="009C2E47"/>
    <w:rsid w:val="009C43A7"/>
    <w:rsid w:val="009C5836"/>
    <w:rsid w:val="009C5C54"/>
    <w:rsid w:val="009C6DE5"/>
    <w:rsid w:val="009D080F"/>
    <w:rsid w:val="009D0CFC"/>
    <w:rsid w:val="009D1408"/>
    <w:rsid w:val="009D23FA"/>
    <w:rsid w:val="009D2A8E"/>
    <w:rsid w:val="009D3B42"/>
    <w:rsid w:val="009D42A8"/>
    <w:rsid w:val="009D42D7"/>
    <w:rsid w:val="009D5D5E"/>
    <w:rsid w:val="009D61A2"/>
    <w:rsid w:val="009D7CEE"/>
    <w:rsid w:val="009E2AF9"/>
    <w:rsid w:val="009E325F"/>
    <w:rsid w:val="009E3D6A"/>
    <w:rsid w:val="009E55A7"/>
    <w:rsid w:val="009E6B85"/>
    <w:rsid w:val="009E6E8E"/>
    <w:rsid w:val="009F140C"/>
    <w:rsid w:val="009F26F0"/>
    <w:rsid w:val="009F391F"/>
    <w:rsid w:val="009F3C06"/>
    <w:rsid w:val="009F4877"/>
    <w:rsid w:val="009F487E"/>
    <w:rsid w:val="009F494C"/>
    <w:rsid w:val="009F50AC"/>
    <w:rsid w:val="009F6A82"/>
    <w:rsid w:val="009F6BBC"/>
    <w:rsid w:val="009F7C1D"/>
    <w:rsid w:val="00A01451"/>
    <w:rsid w:val="00A02645"/>
    <w:rsid w:val="00A065DD"/>
    <w:rsid w:val="00A10037"/>
    <w:rsid w:val="00A10920"/>
    <w:rsid w:val="00A11B6F"/>
    <w:rsid w:val="00A1569B"/>
    <w:rsid w:val="00A16600"/>
    <w:rsid w:val="00A20F3C"/>
    <w:rsid w:val="00A2109D"/>
    <w:rsid w:val="00A211D0"/>
    <w:rsid w:val="00A21447"/>
    <w:rsid w:val="00A21619"/>
    <w:rsid w:val="00A21F56"/>
    <w:rsid w:val="00A229FF"/>
    <w:rsid w:val="00A24053"/>
    <w:rsid w:val="00A25647"/>
    <w:rsid w:val="00A26C08"/>
    <w:rsid w:val="00A3015E"/>
    <w:rsid w:val="00A308AB"/>
    <w:rsid w:val="00A315F3"/>
    <w:rsid w:val="00A31D7E"/>
    <w:rsid w:val="00A32AB5"/>
    <w:rsid w:val="00A33647"/>
    <w:rsid w:val="00A348C9"/>
    <w:rsid w:val="00A36263"/>
    <w:rsid w:val="00A3723F"/>
    <w:rsid w:val="00A37612"/>
    <w:rsid w:val="00A37FCE"/>
    <w:rsid w:val="00A4088B"/>
    <w:rsid w:val="00A416A7"/>
    <w:rsid w:val="00A42B15"/>
    <w:rsid w:val="00A436AB"/>
    <w:rsid w:val="00A446B0"/>
    <w:rsid w:val="00A45723"/>
    <w:rsid w:val="00A45A68"/>
    <w:rsid w:val="00A51403"/>
    <w:rsid w:val="00A51906"/>
    <w:rsid w:val="00A549F3"/>
    <w:rsid w:val="00A54AE3"/>
    <w:rsid w:val="00A55A7F"/>
    <w:rsid w:val="00A6127D"/>
    <w:rsid w:val="00A64773"/>
    <w:rsid w:val="00A66DB6"/>
    <w:rsid w:val="00A67232"/>
    <w:rsid w:val="00A706FB"/>
    <w:rsid w:val="00A710FB"/>
    <w:rsid w:val="00A71684"/>
    <w:rsid w:val="00A717F8"/>
    <w:rsid w:val="00A72B60"/>
    <w:rsid w:val="00A74469"/>
    <w:rsid w:val="00A80625"/>
    <w:rsid w:val="00A80743"/>
    <w:rsid w:val="00A81384"/>
    <w:rsid w:val="00A81E40"/>
    <w:rsid w:val="00A8201F"/>
    <w:rsid w:val="00A827AA"/>
    <w:rsid w:val="00A834FF"/>
    <w:rsid w:val="00A83E22"/>
    <w:rsid w:val="00A8415F"/>
    <w:rsid w:val="00A848A3"/>
    <w:rsid w:val="00A84DBA"/>
    <w:rsid w:val="00A84F9F"/>
    <w:rsid w:val="00A9096D"/>
    <w:rsid w:val="00A90C65"/>
    <w:rsid w:val="00A90CB8"/>
    <w:rsid w:val="00A94A37"/>
    <w:rsid w:val="00A95CEF"/>
    <w:rsid w:val="00AA13A7"/>
    <w:rsid w:val="00AA1599"/>
    <w:rsid w:val="00AA265A"/>
    <w:rsid w:val="00AA3A94"/>
    <w:rsid w:val="00AA5D09"/>
    <w:rsid w:val="00AB0CE7"/>
    <w:rsid w:val="00AB156E"/>
    <w:rsid w:val="00AB2C63"/>
    <w:rsid w:val="00AB3938"/>
    <w:rsid w:val="00AB587B"/>
    <w:rsid w:val="00AB5C1E"/>
    <w:rsid w:val="00AC15A7"/>
    <w:rsid w:val="00AC1DE1"/>
    <w:rsid w:val="00AC47C0"/>
    <w:rsid w:val="00AC560C"/>
    <w:rsid w:val="00AC5897"/>
    <w:rsid w:val="00AC5DCB"/>
    <w:rsid w:val="00AD10FD"/>
    <w:rsid w:val="00AD1C7C"/>
    <w:rsid w:val="00AD220C"/>
    <w:rsid w:val="00AD28A5"/>
    <w:rsid w:val="00AD3556"/>
    <w:rsid w:val="00AD567E"/>
    <w:rsid w:val="00AD5E47"/>
    <w:rsid w:val="00AD67C2"/>
    <w:rsid w:val="00AD6C1E"/>
    <w:rsid w:val="00AD72FB"/>
    <w:rsid w:val="00AD7CDC"/>
    <w:rsid w:val="00AD7E8F"/>
    <w:rsid w:val="00AE0607"/>
    <w:rsid w:val="00AE2244"/>
    <w:rsid w:val="00AE27CE"/>
    <w:rsid w:val="00AE29B9"/>
    <w:rsid w:val="00AE5B1D"/>
    <w:rsid w:val="00AE784D"/>
    <w:rsid w:val="00AF05F2"/>
    <w:rsid w:val="00AF0961"/>
    <w:rsid w:val="00AF2045"/>
    <w:rsid w:val="00AF3CD3"/>
    <w:rsid w:val="00AF5C65"/>
    <w:rsid w:val="00AF67A0"/>
    <w:rsid w:val="00B008B3"/>
    <w:rsid w:val="00B0226C"/>
    <w:rsid w:val="00B02858"/>
    <w:rsid w:val="00B02A5F"/>
    <w:rsid w:val="00B05623"/>
    <w:rsid w:val="00B07B9F"/>
    <w:rsid w:val="00B124B1"/>
    <w:rsid w:val="00B16D2C"/>
    <w:rsid w:val="00B21BDD"/>
    <w:rsid w:val="00B21DB0"/>
    <w:rsid w:val="00B2296B"/>
    <w:rsid w:val="00B23979"/>
    <w:rsid w:val="00B26313"/>
    <w:rsid w:val="00B308DC"/>
    <w:rsid w:val="00B30AD1"/>
    <w:rsid w:val="00B31BF5"/>
    <w:rsid w:val="00B35393"/>
    <w:rsid w:val="00B35D3A"/>
    <w:rsid w:val="00B35ED0"/>
    <w:rsid w:val="00B376D7"/>
    <w:rsid w:val="00B41C65"/>
    <w:rsid w:val="00B4393A"/>
    <w:rsid w:val="00B44D5A"/>
    <w:rsid w:val="00B479E5"/>
    <w:rsid w:val="00B50F1E"/>
    <w:rsid w:val="00B5338C"/>
    <w:rsid w:val="00B544B9"/>
    <w:rsid w:val="00B549D7"/>
    <w:rsid w:val="00B55CFF"/>
    <w:rsid w:val="00B601FB"/>
    <w:rsid w:val="00B63069"/>
    <w:rsid w:val="00B6306B"/>
    <w:rsid w:val="00B6469F"/>
    <w:rsid w:val="00B65626"/>
    <w:rsid w:val="00B663A7"/>
    <w:rsid w:val="00B70289"/>
    <w:rsid w:val="00B703D1"/>
    <w:rsid w:val="00B70A1F"/>
    <w:rsid w:val="00B71E1E"/>
    <w:rsid w:val="00B72B52"/>
    <w:rsid w:val="00B73458"/>
    <w:rsid w:val="00B74038"/>
    <w:rsid w:val="00B75853"/>
    <w:rsid w:val="00B75ECC"/>
    <w:rsid w:val="00B77996"/>
    <w:rsid w:val="00B81EE3"/>
    <w:rsid w:val="00B82AAE"/>
    <w:rsid w:val="00B82B65"/>
    <w:rsid w:val="00B84266"/>
    <w:rsid w:val="00B849DD"/>
    <w:rsid w:val="00B865C3"/>
    <w:rsid w:val="00B86DFE"/>
    <w:rsid w:val="00B870CB"/>
    <w:rsid w:val="00B87C09"/>
    <w:rsid w:val="00B9279B"/>
    <w:rsid w:val="00B94C93"/>
    <w:rsid w:val="00B95B53"/>
    <w:rsid w:val="00B96A1C"/>
    <w:rsid w:val="00B96AF4"/>
    <w:rsid w:val="00B96F63"/>
    <w:rsid w:val="00BA1155"/>
    <w:rsid w:val="00BA3FCD"/>
    <w:rsid w:val="00BA465A"/>
    <w:rsid w:val="00BA4B86"/>
    <w:rsid w:val="00BA5E9F"/>
    <w:rsid w:val="00BA6226"/>
    <w:rsid w:val="00BA6E0F"/>
    <w:rsid w:val="00BB04ED"/>
    <w:rsid w:val="00BB10F0"/>
    <w:rsid w:val="00BB1228"/>
    <w:rsid w:val="00BB351B"/>
    <w:rsid w:val="00BB61F7"/>
    <w:rsid w:val="00BB6D7B"/>
    <w:rsid w:val="00BB7F52"/>
    <w:rsid w:val="00BC06CD"/>
    <w:rsid w:val="00BC30D7"/>
    <w:rsid w:val="00BC4D40"/>
    <w:rsid w:val="00BC4DED"/>
    <w:rsid w:val="00BC4EAB"/>
    <w:rsid w:val="00BC5076"/>
    <w:rsid w:val="00BC65B6"/>
    <w:rsid w:val="00BC6A8F"/>
    <w:rsid w:val="00BC700A"/>
    <w:rsid w:val="00BC7442"/>
    <w:rsid w:val="00BD02EC"/>
    <w:rsid w:val="00BD0A24"/>
    <w:rsid w:val="00BD2491"/>
    <w:rsid w:val="00BD2AE1"/>
    <w:rsid w:val="00BD3CE5"/>
    <w:rsid w:val="00BD4083"/>
    <w:rsid w:val="00BD6165"/>
    <w:rsid w:val="00BD7139"/>
    <w:rsid w:val="00BE059C"/>
    <w:rsid w:val="00BE1B9F"/>
    <w:rsid w:val="00BE29B5"/>
    <w:rsid w:val="00BE455B"/>
    <w:rsid w:val="00BE7EF2"/>
    <w:rsid w:val="00BF05CB"/>
    <w:rsid w:val="00BF195C"/>
    <w:rsid w:val="00BF5C92"/>
    <w:rsid w:val="00BF681D"/>
    <w:rsid w:val="00C0043F"/>
    <w:rsid w:val="00C0282A"/>
    <w:rsid w:val="00C03619"/>
    <w:rsid w:val="00C0368B"/>
    <w:rsid w:val="00C0386F"/>
    <w:rsid w:val="00C04A80"/>
    <w:rsid w:val="00C061F6"/>
    <w:rsid w:val="00C06466"/>
    <w:rsid w:val="00C06797"/>
    <w:rsid w:val="00C06BDD"/>
    <w:rsid w:val="00C071AA"/>
    <w:rsid w:val="00C12E4B"/>
    <w:rsid w:val="00C14E0C"/>
    <w:rsid w:val="00C150CC"/>
    <w:rsid w:val="00C1530B"/>
    <w:rsid w:val="00C157D7"/>
    <w:rsid w:val="00C1696C"/>
    <w:rsid w:val="00C205EE"/>
    <w:rsid w:val="00C227D7"/>
    <w:rsid w:val="00C22DFB"/>
    <w:rsid w:val="00C23ACC"/>
    <w:rsid w:val="00C24CF9"/>
    <w:rsid w:val="00C2798C"/>
    <w:rsid w:val="00C30BCC"/>
    <w:rsid w:val="00C32429"/>
    <w:rsid w:val="00C339D5"/>
    <w:rsid w:val="00C33AA3"/>
    <w:rsid w:val="00C33E02"/>
    <w:rsid w:val="00C35024"/>
    <w:rsid w:val="00C37BFF"/>
    <w:rsid w:val="00C40EAD"/>
    <w:rsid w:val="00C41E5D"/>
    <w:rsid w:val="00C42335"/>
    <w:rsid w:val="00C42C71"/>
    <w:rsid w:val="00C44575"/>
    <w:rsid w:val="00C47B35"/>
    <w:rsid w:val="00C502DB"/>
    <w:rsid w:val="00C51B5E"/>
    <w:rsid w:val="00C53F93"/>
    <w:rsid w:val="00C54C65"/>
    <w:rsid w:val="00C5519F"/>
    <w:rsid w:val="00C578A2"/>
    <w:rsid w:val="00C579D2"/>
    <w:rsid w:val="00C57BA7"/>
    <w:rsid w:val="00C60861"/>
    <w:rsid w:val="00C64D28"/>
    <w:rsid w:val="00C653CF"/>
    <w:rsid w:val="00C654A4"/>
    <w:rsid w:val="00C70228"/>
    <w:rsid w:val="00C70B12"/>
    <w:rsid w:val="00C72253"/>
    <w:rsid w:val="00C7310D"/>
    <w:rsid w:val="00C7500D"/>
    <w:rsid w:val="00C7517B"/>
    <w:rsid w:val="00C75F2C"/>
    <w:rsid w:val="00C7752C"/>
    <w:rsid w:val="00C8026D"/>
    <w:rsid w:val="00C819BB"/>
    <w:rsid w:val="00C82F23"/>
    <w:rsid w:val="00C83E8E"/>
    <w:rsid w:val="00C84037"/>
    <w:rsid w:val="00C8499B"/>
    <w:rsid w:val="00C84C81"/>
    <w:rsid w:val="00C8544B"/>
    <w:rsid w:val="00C8695C"/>
    <w:rsid w:val="00C903AB"/>
    <w:rsid w:val="00C91338"/>
    <w:rsid w:val="00C93A1B"/>
    <w:rsid w:val="00C94C90"/>
    <w:rsid w:val="00C9568A"/>
    <w:rsid w:val="00C959B4"/>
    <w:rsid w:val="00C95F48"/>
    <w:rsid w:val="00C97D05"/>
    <w:rsid w:val="00CA3513"/>
    <w:rsid w:val="00CA6363"/>
    <w:rsid w:val="00CA6ED9"/>
    <w:rsid w:val="00CA78FA"/>
    <w:rsid w:val="00CB0251"/>
    <w:rsid w:val="00CB0747"/>
    <w:rsid w:val="00CB0F32"/>
    <w:rsid w:val="00CB27F8"/>
    <w:rsid w:val="00CB48D1"/>
    <w:rsid w:val="00CB527C"/>
    <w:rsid w:val="00CB5EE9"/>
    <w:rsid w:val="00CB7BFA"/>
    <w:rsid w:val="00CC06AB"/>
    <w:rsid w:val="00CC0822"/>
    <w:rsid w:val="00CC2B55"/>
    <w:rsid w:val="00CC35B0"/>
    <w:rsid w:val="00CC42D9"/>
    <w:rsid w:val="00CC6021"/>
    <w:rsid w:val="00CC6EFB"/>
    <w:rsid w:val="00CC741E"/>
    <w:rsid w:val="00CD4880"/>
    <w:rsid w:val="00CD4CB9"/>
    <w:rsid w:val="00CD514C"/>
    <w:rsid w:val="00CD640D"/>
    <w:rsid w:val="00CD74EA"/>
    <w:rsid w:val="00CE0584"/>
    <w:rsid w:val="00CE1962"/>
    <w:rsid w:val="00CE1DA5"/>
    <w:rsid w:val="00CE2543"/>
    <w:rsid w:val="00CE28F8"/>
    <w:rsid w:val="00CE376E"/>
    <w:rsid w:val="00CF23E3"/>
    <w:rsid w:val="00CF4A14"/>
    <w:rsid w:val="00CF4F5C"/>
    <w:rsid w:val="00CF5813"/>
    <w:rsid w:val="00CF6010"/>
    <w:rsid w:val="00CF684C"/>
    <w:rsid w:val="00D00471"/>
    <w:rsid w:val="00D00F4C"/>
    <w:rsid w:val="00D01348"/>
    <w:rsid w:val="00D03F3B"/>
    <w:rsid w:val="00D05A48"/>
    <w:rsid w:val="00D120E6"/>
    <w:rsid w:val="00D12AC1"/>
    <w:rsid w:val="00D12F5E"/>
    <w:rsid w:val="00D14284"/>
    <w:rsid w:val="00D151F7"/>
    <w:rsid w:val="00D1544A"/>
    <w:rsid w:val="00D164EC"/>
    <w:rsid w:val="00D17062"/>
    <w:rsid w:val="00D203FF"/>
    <w:rsid w:val="00D22374"/>
    <w:rsid w:val="00D30DE1"/>
    <w:rsid w:val="00D31457"/>
    <w:rsid w:val="00D3159E"/>
    <w:rsid w:val="00D315DA"/>
    <w:rsid w:val="00D32EEF"/>
    <w:rsid w:val="00D337A0"/>
    <w:rsid w:val="00D34C45"/>
    <w:rsid w:val="00D350F9"/>
    <w:rsid w:val="00D40C40"/>
    <w:rsid w:val="00D41812"/>
    <w:rsid w:val="00D42642"/>
    <w:rsid w:val="00D42660"/>
    <w:rsid w:val="00D439AF"/>
    <w:rsid w:val="00D44AD0"/>
    <w:rsid w:val="00D44BD2"/>
    <w:rsid w:val="00D51622"/>
    <w:rsid w:val="00D5240E"/>
    <w:rsid w:val="00D52DC2"/>
    <w:rsid w:val="00D545B4"/>
    <w:rsid w:val="00D55CE9"/>
    <w:rsid w:val="00D5792F"/>
    <w:rsid w:val="00D57AB3"/>
    <w:rsid w:val="00D62F08"/>
    <w:rsid w:val="00D64906"/>
    <w:rsid w:val="00D64DF5"/>
    <w:rsid w:val="00D661BC"/>
    <w:rsid w:val="00D67E75"/>
    <w:rsid w:val="00D71858"/>
    <w:rsid w:val="00D71F85"/>
    <w:rsid w:val="00D75608"/>
    <w:rsid w:val="00D763AC"/>
    <w:rsid w:val="00D763BE"/>
    <w:rsid w:val="00D7650B"/>
    <w:rsid w:val="00D76CBF"/>
    <w:rsid w:val="00D76E2B"/>
    <w:rsid w:val="00D7770D"/>
    <w:rsid w:val="00D77CD3"/>
    <w:rsid w:val="00D77FFE"/>
    <w:rsid w:val="00D80762"/>
    <w:rsid w:val="00D80A33"/>
    <w:rsid w:val="00D81ED7"/>
    <w:rsid w:val="00D82007"/>
    <w:rsid w:val="00D85F6A"/>
    <w:rsid w:val="00D91B20"/>
    <w:rsid w:val="00D9245B"/>
    <w:rsid w:val="00D926E0"/>
    <w:rsid w:val="00D93810"/>
    <w:rsid w:val="00D93CF6"/>
    <w:rsid w:val="00D94367"/>
    <w:rsid w:val="00D944A5"/>
    <w:rsid w:val="00D94CDF"/>
    <w:rsid w:val="00D955DF"/>
    <w:rsid w:val="00D95CDF"/>
    <w:rsid w:val="00DA0218"/>
    <w:rsid w:val="00DA0C01"/>
    <w:rsid w:val="00DA47EF"/>
    <w:rsid w:val="00DA5017"/>
    <w:rsid w:val="00DA6916"/>
    <w:rsid w:val="00DA741B"/>
    <w:rsid w:val="00DA758C"/>
    <w:rsid w:val="00DB0845"/>
    <w:rsid w:val="00DB106F"/>
    <w:rsid w:val="00DB38DA"/>
    <w:rsid w:val="00DB396D"/>
    <w:rsid w:val="00DB4843"/>
    <w:rsid w:val="00DB5FA2"/>
    <w:rsid w:val="00DB62F2"/>
    <w:rsid w:val="00DB6E57"/>
    <w:rsid w:val="00DB7109"/>
    <w:rsid w:val="00DC08EB"/>
    <w:rsid w:val="00DC4267"/>
    <w:rsid w:val="00DC55B0"/>
    <w:rsid w:val="00DC590B"/>
    <w:rsid w:val="00DC61A5"/>
    <w:rsid w:val="00DD0074"/>
    <w:rsid w:val="00DD45D2"/>
    <w:rsid w:val="00DD4D3C"/>
    <w:rsid w:val="00DD6B9C"/>
    <w:rsid w:val="00DD703B"/>
    <w:rsid w:val="00DD710B"/>
    <w:rsid w:val="00DE163E"/>
    <w:rsid w:val="00DE4D59"/>
    <w:rsid w:val="00DE5A1C"/>
    <w:rsid w:val="00DE5F7A"/>
    <w:rsid w:val="00DF1586"/>
    <w:rsid w:val="00DF22FE"/>
    <w:rsid w:val="00DF340F"/>
    <w:rsid w:val="00DF34CE"/>
    <w:rsid w:val="00DF5809"/>
    <w:rsid w:val="00E0020F"/>
    <w:rsid w:val="00E00218"/>
    <w:rsid w:val="00E03723"/>
    <w:rsid w:val="00E039A9"/>
    <w:rsid w:val="00E06602"/>
    <w:rsid w:val="00E077F3"/>
    <w:rsid w:val="00E07A5B"/>
    <w:rsid w:val="00E07FEE"/>
    <w:rsid w:val="00E128E7"/>
    <w:rsid w:val="00E14AF8"/>
    <w:rsid w:val="00E16432"/>
    <w:rsid w:val="00E17010"/>
    <w:rsid w:val="00E200D6"/>
    <w:rsid w:val="00E23867"/>
    <w:rsid w:val="00E25A38"/>
    <w:rsid w:val="00E268B9"/>
    <w:rsid w:val="00E26F0F"/>
    <w:rsid w:val="00E316BB"/>
    <w:rsid w:val="00E32B9D"/>
    <w:rsid w:val="00E32DBC"/>
    <w:rsid w:val="00E33443"/>
    <w:rsid w:val="00E3450F"/>
    <w:rsid w:val="00E36589"/>
    <w:rsid w:val="00E36888"/>
    <w:rsid w:val="00E37674"/>
    <w:rsid w:val="00E403AE"/>
    <w:rsid w:val="00E40BE6"/>
    <w:rsid w:val="00E41494"/>
    <w:rsid w:val="00E421D0"/>
    <w:rsid w:val="00E42D5A"/>
    <w:rsid w:val="00E44277"/>
    <w:rsid w:val="00E444C8"/>
    <w:rsid w:val="00E45D65"/>
    <w:rsid w:val="00E462F7"/>
    <w:rsid w:val="00E46D3E"/>
    <w:rsid w:val="00E4737B"/>
    <w:rsid w:val="00E51CCA"/>
    <w:rsid w:val="00E52974"/>
    <w:rsid w:val="00E53409"/>
    <w:rsid w:val="00E53CD0"/>
    <w:rsid w:val="00E55AF9"/>
    <w:rsid w:val="00E56807"/>
    <w:rsid w:val="00E579DD"/>
    <w:rsid w:val="00E61175"/>
    <w:rsid w:val="00E624BD"/>
    <w:rsid w:val="00E63EAB"/>
    <w:rsid w:val="00E64FCA"/>
    <w:rsid w:val="00E661AD"/>
    <w:rsid w:val="00E72340"/>
    <w:rsid w:val="00E75914"/>
    <w:rsid w:val="00E76E17"/>
    <w:rsid w:val="00E77593"/>
    <w:rsid w:val="00E7761F"/>
    <w:rsid w:val="00E803C0"/>
    <w:rsid w:val="00E807DD"/>
    <w:rsid w:val="00E81B25"/>
    <w:rsid w:val="00E83CFC"/>
    <w:rsid w:val="00E83D66"/>
    <w:rsid w:val="00E845C2"/>
    <w:rsid w:val="00E8476C"/>
    <w:rsid w:val="00E86771"/>
    <w:rsid w:val="00E86958"/>
    <w:rsid w:val="00E8C157"/>
    <w:rsid w:val="00E90D24"/>
    <w:rsid w:val="00E914FF"/>
    <w:rsid w:val="00E91D88"/>
    <w:rsid w:val="00E92652"/>
    <w:rsid w:val="00E9360C"/>
    <w:rsid w:val="00E955BF"/>
    <w:rsid w:val="00E959A3"/>
    <w:rsid w:val="00E97022"/>
    <w:rsid w:val="00E977B7"/>
    <w:rsid w:val="00E9798E"/>
    <w:rsid w:val="00EA26BA"/>
    <w:rsid w:val="00EA410E"/>
    <w:rsid w:val="00EA4ED6"/>
    <w:rsid w:val="00EA7305"/>
    <w:rsid w:val="00EB0506"/>
    <w:rsid w:val="00EB0649"/>
    <w:rsid w:val="00EB32A7"/>
    <w:rsid w:val="00EB3F67"/>
    <w:rsid w:val="00EB4182"/>
    <w:rsid w:val="00EB4A44"/>
    <w:rsid w:val="00EB5129"/>
    <w:rsid w:val="00EB639C"/>
    <w:rsid w:val="00EC1DA7"/>
    <w:rsid w:val="00EC3059"/>
    <w:rsid w:val="00EC4D0F"/>
    <w:rsid w:val="00EC61D1"/>
    <w:rsid w:val="00EC67D3"/>
    <w:rsid w:val="00ED073E"/>
    <w:rsid w:val="00ED1538"/>
    <w:rsid w:val="00ED4F7C"/>
    <w:rsid w:val="00ED5EB8"/>
    <w:rsid w:val="00ED5F09"/>
    <w:rsid w:val="00ED6E53"/>
    <w:rsid w:val="00ED754A"/>
    <w:rsid w:val="00EE1590"/>
    <w:rsid w:val="00EE42AB"/>
    <w:rsid w:val="00EE4CBF"/>
    <w:rsid w:val="00EE67D2"/>
    <w:rsid w:val="00EE6ACD"/>
    <w:rsid w:val="00EF06E0"/>
    <w:rsid w:val="00EF1FC0"/>
    <w:rsid w:val="00EF21BC"/>
    <w:rsid w:val="00EF21E1"/>
    <w:rsid w:val="00EF309E"/>
    <w:rsid w:val="00EF311D"/>
    <w:rsid w:val="00EF3648"/>
    <w:rsid w:val="00EF372B"/>
    <w:rsid w:val="00EF408A"/>
    <w:rsid w:val="00EF47BA"/>
    <w:rsid w:val="00EF4AC7"/>
    <w:rsid w:val="00EF4E7B"/>
    <w:rsid w:val="00EF57AA"/>
    <w:rsid w:val="00EF7582"/>
    <w:rsid w:val="00EF77BE"/>
    <w:rsid w:val="00F0044D"/>
    <w:rsid w:val="00F00BC8"/>
    <w:rsid w:val="00F028B8"/>
    <w:rsid w:val="00F02E1E"/>
    <w:rsid w:val="00F046D2"/>
    <w:rsid w:val="00F056CD"/>
    <w:rsid w:val="00F05E6E"/>
    <w:rsid w:val="00F07BEE"/>
    <w:rsid w:val="00F10D0F"/>
    <w:rsid w:val="00F13BCF"/>
    <w:rsid w:val="00F14982"/>
    <w:rsid w:val="00F15431"/>
    <w:rsid w:val="00F15F78"/>
    <w:rsid w:val="00F2034C"/>
    <w:rsid w:val="00F20CA2"/>
    <w:rsid w:val="00F20DAD"/>
    <w:rsid w:val="00F21032"/>
    <w:rsid w:val="00F21E74"/>
    <w:rsid w:val="00F22F6B"/>
    <w:rsid w:val="00F24401"/>
    <w:rsid w:val="00F2523C"/>
    <w:rsid w:val="00F30E77"/>
    <w:rsid w:val="00F316C4"/>
    <w:rsid w:val="00F316E3"/>
    <w:rsid w:val="00F322DE"/>
    <w:rsid w:val="00F3336C"/>
    <w:rsid w:val="00F333F7"/>
    <w:rsid w:val="00F337BC"/>
    <w:rsid w:val="00F36D8F"/>
    <w:rsid w:val="00F36E30"/>
    <w:rsid w:val="00F36F13"/>
    <w:rsid w:val="00F37F0F"/>
    <w:rsid w:val="00F40C7B"/>
    <w:rsid w:val="00F45137"/>
    <w:rsid w:val="00F465F3"/>
    <w:rsid w:val="00F46964"/>
    <w:rsid w:val="00F471B8"/>
    <w:rsid w:val="00F478FC"/>
    <w:rsid w:val="00F50C7D"/>
    <w:rsid w:val="00F51425"/>
    <w:rsid w:val="00F521B1"/>
    <w:rsid w:val="00F54039"/>
    <w:rsid w:val="00F545B6"/>
    <w:rsid w:val="00F54FD4"/>
    <w:rsid w:val="00F57334"/>
    <w:rsid w:val="00F57C9D"/>
    <w:rsid w:val="00F600D2"/>
    <w:rsid w:val="00F62B67"/>
    <w:rsid w:val="00F631C6"/>
    <w:rsid w:val="00F65B91"/>
    <w:rsid w:val="00F65F7A"/>
    <w:rsid w:val="00F66F14"/>
    <w:rsid w:val="00F67057"/>
    <w:rsid w:val="00F7041B"/>
    <w:rsid w:val="00F70954"/>
    <w:rsid w:val="00F71F60"/>
    <w:rsid w:val="00F72375"/>
    <w:rsid w:val="00F72C0E"/>
    <w:rsid w:val="00F72D5E"/>
    <w:rsid w:val="00F72E16"/>
    <w:rsid w:val="00F73A52"/>
    <w:rsid w:val="00F7573E"/>
    <w:rsid w:val="00F76F36"/>
    <w:rsid w:val="00F77B47"/>
    <w:rsid w:val="00F77D45"/>
    <w:rsid w:val="00F809D3"/>
    <w:rsid w:val="00F8109F"/>
    <w:rsid w:val="00F81124"/>
    <w:rsid w:val="00F8454A"/>
    <w:rsid w:val="00F85C4C"/>
    <w:rsid w:val="00F864B3"/>
    <w:rsid w:val="00F86564"/>
    <w:rsid w:val="00F868B9"/>
    <w:rsid w:val="00F87BCA"/>
    <w:rsid w:val="00F906CC"/>
    <w:rsid w:val="00F90986"/>
    <w:rsid w:val="00F912B5"/>
    <w:rsid w:val="00F933E0"/>
    <w:rsid w:val="00F942E6"/>
    <w:rsid w:val="00F94D8D"/>
    <w:rsid w:val="00F94FB4"/>
    <w:rsid w:val="00F95F4D"/>
    <w:rsid w:val="00F966E6"/>
    <w:rsid w:val="00F97D84"/>
    <w:rsid w:val="00FA0980"/>
    <w:rsid w:val="00FA0A24"/>
    <w:rsid w:val="00FA1525"/>
    <w:rsid w:val="00FA357C"/>
    <w:rsid w:val="00FA51AC"/>
    <w:rsid w:val="00FA615B"/>
    <w:rsid w:val="00FA64BA"/>
    <w:rsid w:val="00FA758D"/>
    <w:rsid w:val="00FB0284"/>
    <w:rsid w:val="00FB1137"/>
    <w:rsid w:val="00FB3029"/>
    <w:rsid w:val="00FB5343"/>
    <w:rsid w:val="00FB682C"/>
    <w:rsid w:val="00FB70E3"/>
    <w:rsid w:val="00FB72B4"/>
    <w:rsid w:val="00FC0872"/>
    <w:rsid w:val="00FC0C66"/>
    <w:rsid w:val="00FC2E67"/>
    <w:rsid w:val="00FC3BB2"/>
    <w:rsid w:val="00FC460A"/>
    <w:rsid w:val="00FC5B0E"/>
    <w:rsid w:val="00FC5F22"/>
    <w:rsid w:val="00FC6923"/>
    <w:rsid w:val="00FC6ABE"/>
    <w:rsid w:val="00FC7319"/>
    <w:rsid w:val="00FC73D3"/>
    <w:rsid w:val="00FD0CBE"/>
    <w:rsid w:val="00FD0F34"/>
    <w:rsid w:val="00FD1075"/>
    <w:rsid w:val="00FD1089"/>
    <w:rsid w:val="00FD1D1E"/>
    <w:rsid w:val="00FD3732"/>
    <w:rsid w:val="00FD3E8A"/>
    <w:rsid w:val="00FD6163"/>
    <w:rsid w:val="00FD7AB9"/>
    <w:rsid w:val="00FE075C"/>
    <w:rsid w:val="00FE08E9"/>
    <w:rsid w:val="00FE0BF0"/>
    <w:rsid w:val="00FE0E6E"/>
    <w:rsid w:val="00FE1E81"/>
    <w:rsid w:val="00FE2DB5"/>
    <w:rsid w:val="00FE3224"/>
    <w:rsid w:val="00FE5315"/>
    <w:rsid w:val="00FE5D12"/>
    <w:rsid w:val="00FF1343"/>
    <w:rsid w:val="00FF1383"/>
    <w:rsid w:val="00FF522F"/>
    <w:rsid w:val="00FF5536"/>
    <w:rsid w:val="00FF698B"/>
    <w:rsid w:val="018A397D"/>
    <w:rsid w:val="0392085B"/>
    <w:rsid w:val="044D4D55"/>
    <w:rsid w:val="053D7982"/>
    <w:rsid w:val="06EF9BFB"/>
    <w:rsid w:val="07428B72"/>
    <w:rsid w:val="080231A1"/>
    <w:rsid w:val="0B233203"/>
    <w:rsid w:val="0BEBD907"/>
    <w:rsid w:val="0CE0C4B6"/>
    <w:rsid w:val="0E3314A2"/>
    <w:rsid w:val="0F476CB1"/>
    <w:rsid w:val="10230901"/>
    <w:rsid w:val="10ADD96F"/>
    <w:rsid w:val="11A6D1A7"/>
    <w:rsid w:val="11D288B6"/>
    <w:rsid w:val="123E508C"/>
    <w:rsid w:val="1272CC4A"/>
    <w:rsid w:val="13899891"/>
    <w:rsid w:val="13D13DC5"/>
    <w:rsid w:val="140C9C6A"/>
    <w:rsid w:val="14E72EF6"/>
    <w:rsid w:val="15B0CD01"/>
    <w:rsid w:val="16018DDB"/>
    <w:rsid w:val="16E41213"/>
    <w:rsid w:val="17951722"/>
    <w:rsid w:val="18487E7C"/>
    <w:rsid w:val="18AEE524"/>
    <w:rsid w:val="19EDAFD9"/>
    <w:rsid w:val="1BE06DC6"/>
    <w:rsid w:val="1C33C8EA"/>
    <w:rsid w:val="1D90ACD3"/>
    <w:rsid w:val="1DC3AA44"/>
    <w:rsid w:val="1DDCDC9F"/>
    <w:rsid w:val="1E56C567"/>
    <w:rsid w:val="20873DC8"/>
    <w:rsid w:val="2192A275"/>
    <w:rsid w:val="23545018"/>
    <w:rsid w:val="25FA2262"/>
    <w:rsid w:val="261D606F"/>
    <w:rsid w:val="268C927B"/>
    <w:rsid w:val="27BDF3C4"/>
    <w:rsid w:val="28A90039"/>
    <w:rsid w:val="28F7B71F"/>
    <w:rsid w:val="2909A7D9"/>
    <w:rsid w:val="29FA8663"/>
    <w:rsid w:val="2AAC9668"/>
    <w:rsid w:val="2ABD7B33"/>
    <w:rsid w:val="2B19C034"/>
    <w:rsid w:val="2CB218A7"/>
    <w:rsid w:val="2CB3DE16"/>
    <w:rsid w:val="2CC2C6B2"/>
    <w:rsid w:val="2D7D0FE5"/>
    <w:rsid w:val="2DA08FAE"/>
    <w:rsid w:val="2F5A3489"/>
    <w:rsid w:val="2FCC0C1B"/>
    <w:rsid w:val="316553C6"/>
    <w:rsid w:val="31986686"/>
    <w:rsid w:val="32E03062"/>
    <w:rsid w:val="32F57C66"/>
    <w:rsid w:val="33B73655"/>
    <w:rsid w:val="3741AC40"/>
    <w:rsid w:val="375D41FE"/>
    <w:rsid w:val="3764F74E"/>
    <w:rsid w:val="37E5722E"/>
    <w:rsid w:val="391CA564"/>
    <w:rsid w:val="3A99AC9B"/>
    <w:rsid w:val="3BA92F7A"/>
    <w:rsid w:val="3BEF2ADB"/>
    <w:rsid w:val="4094AC11"/>
    <w:rsid w:val="4149AD9B"/>
    <w:rsid w:val="421F2A41"/>
    <w:rsid w:val="428ABB95"/>
    <w:rsid w:val="4330E04D"/>
    <w:rsid w:val="43824B8E"/>
    <w:rsid w:val="439B66C0"/>
    <w:rsid w:val="43A7CFA3"/>
    <w:rsid w:val="4514BC5D"/>
    <w:rsid w:val="459EDF66"/>
    <w:rsid w:val="45D16B1E"/>
    <w:rsid w:val="46A93908"/>
    <w:rsid w:val="470E2204"/>
    <w:rsid w:val="4726D787"/>
    <w:rsid w:val="4798D3FE"/>
    <w:rsid w:val="4A5E0EBC"/>
    <w:rsid w:val="4B42A8CC"/>
    <w:rsid w:val="4D18F351"/>
    <w:rsid w:val="4DDD1C6A"/>
    <w:rsid w:val="4DF641D6"/>
    <w:rsid w:val="4EE4035B"/>
    <w:rsid w:val="50410663"/>
    <w:rsid w:val="515ED25E"/>
    <w:rsid w:val="51AE23C2"/>
    <w:rsid w:val="522EBD5A"/>
    <w:rsid w:val="52B386B1"/>
    <w:rsid w:val="539474C1"/>
    <w:rsid w:val="56FC2729"/>
    <w:rsid w:val="572F7564"/>
    <w:rsid w:val="57352443"/>
    <w:rsid w:val="590D8B00"/>
    <w:rsid w:val="59EC958C"/>
    <w:rsid w:val="5AE842CF"/>
    <w:rsid w:val="5B1D62A3"/>
    <w:rsid w:val="5BC6506F"/>
    <w:rsid w:val="5C743710"/>
    <w:rsid w:val="5CB88024"/>
    <w:rsid w:val="5CF49285"/>
    <w:rsid w:val="5D8BC3D6"/>
    <w:rsid w:val="5E78F38A"/>
    <w:rsid w:val="5FA80457"/>
    <w:rsid w:val="5FB976BE"/>
    <w:rsid w:val="601FFB82"/>
    <w:rsid w:val="60258206"/>
    <w:rsid w:val="60491578"/>
    <w:rsid w:val="60FD55DF"/>
    <w:rsid w:val="62433C0E"/>
    <w:rsid w:val="62800E75"/>
    <w:rsid w:val="62C3A6E1"/>
    <w:rsid w:val="6383293B"/>
    <w:rsid w:val="66042CA2"/>
    <w:rsid w:val="662F7D4B"/>
    <w:rsid w:val="681C4C64"/>
    <w:rsid w:val="692DEA92"/>
    <w:rsid w:val="6ADBF34C"/>
    <w:rsid w:val="6C4C1612"/>
    <w:rsid w:val="6D444830"/>
    <w:rsid w:val="6D71C558"/>
    <w:rsid w:val="701D1EDC"/>
    <w:rsid w:val="706B9706"/>
    <w:rsid w:val="7352EECD"/>
    <w:rsid w:val="73BD84EF"/>
    <w:rsid w:val="73C485B8"/>
    <w:rsid w:val="75AC9960"/>
    <w:rsid w:val="7699D1F9"/>
    <w:rsid w:val="796D1FF3"/>
    <w:rsid w:val="7A130C31"/>
    <w:rsid w:val="7BB6BA82"/>
    <w:rsid w:val="7BC8B3E9"/>
    <w:rsid w:val="7D6278C4"/>
    <w:rsid w:val="7D73BD73"/>
    <w:rsid w:val="7DF49EDB"/>
    <w:rsid w:val="7EA01FD3"/>
    <w:rsid w:val="7FF2E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A325"/>
  <w15:chartTrackingRefBased/>
  <w15:docId w15:val="{8421642A-871D-4940-9C95-EE9BDDDB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C65"/>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44D"/>
    <w:pPr>
      <w:tabs>
        <w:tab w:val="center" w:pos="4320"/>
        <w:tab w:val="right" w:pos="8640"/>
      </w:tabs>
    </w:pPr>
  </w:style>
  <w:style w:type="character" w:customStyle="1" w:styleId="HeaderChar">
    <w:name w:val="Header Char"/>
    <w:link w:val="Header"/>
    <w:rsid w:val="00F0044D"/>
    <w:rPr>
      <w:rFonts w:ascii="Arial" w:eastAsia="Times New Roman" w:hAnsi="Arial" w:cs="Arial"/>
      <w:sz w:val="24"/>
      <w:szCs w:val="24"/>
      <w:lang w:eastAsia="en-US"/>
    </w:rPr>
  </w:style>
  <w:style w:type="paragraph" w:customStyle="1" w:styleId="CharCharCharChar2">
    <w:name w:val="Char Char Char Char2"/>
    <w:basedOn w:val="Normal"/>
    <w:locked/>
    <w:rsid w:val="00EE6ACD"/>
    <w:pPr>
      <w:spacing w:after="160" w:line="240" w:lineRule="exact"/>
    </w:pPr>
    <w:rPr>
      <w:rFonts w:ascii="Verdana" w:eastAsia="MS ??" w:hAnsi="Verdana" w:cs="Verdana"/>
      <w:sz w:val="20"/>
      <w:szCs w:val="20"/>
      <w:lang w:val="en-US"/>
    </w:rPr>
  </w:style>
  <w:style w:type="paragraph" w:styleId="ListParagraph">
    <w:name w:val="List Paragraph"/>
    <w:basedOn w:val="Normal"/>
    <w:uiPriority w:val="34"/>
    <w:qFormat/>
    <w:rsid w:val="00B94C93"/>
    <w:pPr>
      <w:ind w:left="720"/>
    </w:pPr>
  </w:style>
  <w:style w:type="paragraph" w:styleId="Footer">
    <w:name w:val="footer"/>
    <w:basedOn w:val="Normal"/>
    <w:link w:val="FooterChar"/>
    <w:uiPriority w:val="99"/>
    <w:unhideWhenUsed/>
    <w:rsid w:val="009A78B3"/>
    <w:pPr>
      <w:tabs>
        <w:tab w:val="center" w:pos="4513"/>
        <w:tab w:val="right" w:pos="9026"/>
      </w:tabs>
    </w:pPr>
  </w:style>
  <w:style w:type="character" w:customStyle="1" w:styleId="FooterChar">
    <w:name w:val="Footer Char"/>
    <w:link w:val="Footer"/>
    <w:uiPriority w:val="99"/>
    <w:rsid w:val="009A78B3"/>
    <w:rPr>
      <w:rFonts w:ascii="Arial" w:eastAsia="Times New Roman" w:hAnsi="Arial" w:cs="Arial"/>
      <w:sz w:val="24"/>
      <w:szCs w:val="24"/>
      <w:lang w:eastAsia="en-US"/>
    </w:rPr>
  </w:style>
  <w:style w:type="paragraph" w:styleId="FootnoteText">
    <w:name w:val="footnote text"/>
    <w:basedOn w:val="Normal"/>
    <w:link w:val="FootnoteTextChar"/>
    <w:uiPriority w:val="99"/>
    <w:semiHidden/>
    <w:unhideWhenUsed/>
    <w:rsid w:val="00142DBE"/>
    <w:rPr>
      <w:sz w:val="20"/>
      <w:szCs w:val="20"/>
    </w:rPr>
  </w:style>
  <w:style w:type="character" w:customStyle="1" w:styleId="FootnoteTextChar">
    <w:name w:val="Footnote Text Char"/>
    <w:link w:val="FootnoteText"/>
    <w:uiPriority w:val="99"/>
    <w:semiHidden/>
    <w:rsid w:val="00142DBE"/>
    <w:rPr>
      <w:rFonts w:ascii="Arial" w:eastAsia="Times New Roman" w:hAnsi="Arial" w:cs="Arial"/>
      <w:lang w:eastAsia="en-US"/>
    </w:rPr>
  </w:style>
  <w:style w:type="character" w:styleId="FootnoteReference">
    <w:name w:val="footnote reference"/>
    <w:uiPriority w:val="99"/>
    <w:semiHidden/>
    <w:unhideWhenUsed/>
    <w:rsid w:val="00142DBE"/>
    <w:rPr>
      <w:vertAlign w:val="superscript"/>
    </w:rPr>
  </w:style>
  <w:style w:type="character" w:styleId="Hyperlink">
    <w:name w:val="Hyperlink"/>
    <w:uiPriority w:val="99"/>
    <w:unhideWhenUsed/>
    <w:rsid w:val="00377E71"/>
    <w:rPr>
      <w:color w:val="0000FF"/>
      <w:u w:val="single"/>
    </w:rPr>
  </w:style>
  <w:style w:type="paragraph" w:styleId="BalloonText">
    <w:name w:val="Balloon Text"/>
    <w:basedOn w:val="Normal"/>
    <w:link w:val="BalloonTextChar"/>
    <w:uiPriority w:val="99"/>
    <w:semiHidden/>
    <w:unhideWhenUsed/>
    <w:rsid w:val="00FE3224"/>
    <w:rPr>
      <w:rFonts w:ascii="Tahoma" w:hAnsi="Tahoma" w:cs="Tahoma"/>
      <w:sz w:val="16"/>
      <w:szCs w:val="16"/>
    </w:rPr>
  </w:style>
  <w:style w:type="character" w:customStyle="1" w:styleId="BalloonTextChar">
    <w:name w:val="Balloon Text Char"/>
    <w:link w:val="BalloonText"/>
    <w:uiPriority w:val="99"/>
    <w:semiHidden/>
    <w:rsid w:val="00FE3224"/>
    <w:rPr>
      <w:rFonts w:ascii="Tahoma" w:eastAsia="Times New Roman" w:hAnsi="Tahoma" w:cs="Tahoma"/>
      <w:sz w:val="16"/>
      <w:szCs w:val="16"/>
      <w:lang w:eastAsia="en-US"/>
    </w:rPr>
  </w:style>
  <w:style w:type="character" w:styleId="CommentReference">
    <w:name w:val="annotation reference"/>
    <w:uiPriority w:val="99"/>
    <w:semiHidden/>
    <w:unhideWhenUsed/>
    <w:rsid w:val="00AB3938"/>
    <w:rPr>
      <w:sz w:val="16"/>
      <w:szCs w:val="16"/>
    </w:rPr>
  </w:style>
  <w:style w:type="paragraph" w:styleId="CommentText">
    <w:name w:val="annotation text"/>
    <w:basedOn w:val="Normal"/>
    <w:link w:val="CommentTextChar"/>
    <w:uiPriority w:val="99"/>
    <w:unhideWhenUsed/>
    <w:rsid w:val="00AB3938"/>
    <w:rPr>
      <w:sz w:val="20"/>
      <w:szCs w:val="20"/>
    </w:rPr>
  </w:style>
  <w:style w:type="character" w:customStyle="1" w:styleId="CommentTextChar">
    <w:name w:val="Comment Text Char"/>
    <w:link w:val="CommentText"/>
    <w:uiPriority w:val="99"/>
    <w:rsid w:val="00AB3938"/>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AB3938"/>
    <w:rPr>
      <w:b/>
      <w:bCs/>
    </w:rPr>
  </w:style>
  <w:style w:type="character" w:customStyle="1" w:styleId="CommentSubjectChar">
    <w:name w:val="Comment Subject Char"/>
    <w:link w:val="CommentSubject"/>
    <w:uiPriority w:val="99"/>
    <w:semiHidden/>
    <w:rsid w:val="00AB3938"/>
    <w:rPr>
      <w:rFonts w:ascii="Arial" w:eastAsia="Times New Roman" w:hAnsi="Arial" w:cs="Arial"/>
      <w:b/>
      <w:bCs/>
      <w:lang w:eastAsia="en-US"/>
    </w:rPr>
  </w:style>
  <w:style w:type="paragraph" w:customStyle="1" w:styleId="Default">
    <w:name w:val="Default"/>
    <w:rsid w:val="00AD220C"/>
    <w:pPr>
      <w:autoSpaceDE w:val="0"/>
      <w:autoSpaceDN w:val="0"/>
      <w:adjustRightInd w:val="0"/>
    </w:pPr>
    <w:rPr>
      <w:rFonts w:ascii="Arial" w:hAnsi="Arial" w:cs="Arial"/>
      <w:color w:val="000000"/>
      <w:sz w:val="24"/>
      <w:szCs w:val="24"/>
    </w:rPr>
  </w:style>
  <w:style w:type="table" w:styleId="TableGrid">
    <w:name w:val="Table Grid"/>
    <w:basedOn w:val="TableNormal"/>
    <w:rsid w:val="008C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55C53"/>
    <w:rPr>
      <w:color w:val="800080"/>
      <w:u w:val="single"/>
    </w:rPr>
  </w:style>
  <w:style w:type="paragraph" w:styleId="Revision">
    <w:name w:val="Revision"/>
    <w:hidden/>
    <w:uiPriority w:val="99"/>
    <w:semiHidden/>
    <w:rsid w:val="00956AD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6925">
      <w:bodyDiv w:val="1"/>
      <w:marLeft w:val="0"/>
      <w:marRight w:val="0"/>
      <w:marTop w:val="0"/>
      <w:marBottom w:val="0"/>
      <w:divBdr>
        <w:top w:val="none" w:sz="0" w:space="0" w:color="auto"/>
        <w:left w:val="none" w:sz="0" w:space="0" w:color="auto"/>
        <w:bottom w:val="none" w:sz="0" w:space="0" w:color="auto"/>
        <w:right w:val="none" w:sz="0" w:space="0" w:color="auto"/>
      </w:divBdr>
    </w:div>
    <w:div w:id="313991196">
      <w:bodyDiv w:val="1"/>
      <w:marLeft w:val="0"/>
      <w:marRight w:val="0"/>
      <w:marTop w:val="0"/>
      <w:marBottom w:val="0"/>
      <w:divBdr>
        <w:top w:val="none" w:sz="0" w:space="0" w:color="auto"/>
        <w:left w:val="none" w:sz="0" w:space="0" w:color="auto"/>
        <w:bottom w:val="none" w:sz="0" w:space="0" w:color="auto"/>
        <w:right w:val="none" w:sz="0" w:space="0" w:color="auto"/>
      </w:divBdr>
    </w:div>
    <w:div w:id="386497591">
      <w:bodyDiv w:val="1"/>
      <w:marLeft w:val="0"/>
      <w:marRight w:val="0"/>
      <w:marTop w:val="0"/>
      <w:marBottom w:val="0"/>
      <w:divBdr>
        <w:top w:val="none" w:sz="0" w:space="0" w:color="auto"/>
        <w:left w:val="none" w:sz="0" w:space="0" w:color="auto"/>
        <w:bottom w:val="none" w:sz="0" w:space="0" w:color="auto"/>
        <w:right w:val="none" w:sz="0" w:space="0" w:color="auto"/>
      </w:divBdr>
    </w:div>
    <w:div w:id="447700889">
      <w:bodyDiv w:val="1"/>
      <w:marLeft w:val="0"/>
      <w:marRight w:val="0"/>
      <w:marTop w:val="0"/>
      <w:marBottom w:val="0"/>
      <w:divBdr>
        <w:top w:val="none" w:sz="0" w:space="0" w:color="auto"/>
        <w:left w:val="none" w:sz="0" w:space="0" w:color="auto"/>
        <w:bottom w:val="none" w:sz="0" w:space="0" w:color="auto"/>
        <w:right w:val="none" w:sz="0" w:space="0" w:color="auto"/>
      </w:divBdr>
    </w:div>
    <w:div w:id="617027847">
      <w:bodyDiv w:val="1"/>
      <w:marLeft w:val="0"/>
      <w:marRight w:val="0"/>
      <w:marTop w:val="0"/>
      <w:marBottom w:val="0"/>
      <w:divBdr>
        <w:top w:val="none" w:sz="0" w:space="0" w:color="auto"/>
        <w:left w:val="none" w:sz="0" w:space="0" w:color="auto"/>
        <w:bottom w:val="none" w:sz="0" w:space="0" w:color="auto"/>
        <w:right w:val="none" w:sz="0" w:space="0" w:color="auto"/>
      </w:divBdr>
      <w:divsChild>
        <w:div w:id="121929132">
          <w:marLeft w:val="547"/>
          <w:marRight w:val="0"/>
          <w:marTop w:val="58"/>
          <w:marBottom w:val="0"/>
          <w:divBdr>
            <w:top w:val="none" w:sz="0" w:space="0" w:color="auto"/>
            <w:left w:val="none" w:sz="0" w:space="0" w:color="auto"/>
            <w:bottom w:val="none" w:sz="0" w:space="0" w:color="auto"/>
            <w:right w:val="none" w:sz="0" w:space="0" w:color="auto"/>
          </w:divBdr>
        </w:div>
        <w:div w:id="609818919">
          <w:marLeft w:val="547"/>
          <w:marRight w:val="0"/>
          <w:marTop w:val="58"/>
          <w:marBottom w:val="0"/>
          <w:divBdr>
            <w:top w:val="none" w:sz="0" w:space="0" w:color="auto"/>
            <w:left w:val="none" w:sz="0" w:space="0" w:color="auto"/>
            <w:bottom w:val="none" w:sz="0" w:space="0" w:color="auto"/>
            <w:right w:val="none" w:sz="0" w:space="0" w:color="auto"/>
          </w:divBdr>
        </w:div>
        <w:div w:id="708603129">
          <w:marLeft w:val="547"/>
          <w:marRight w:val="0"/>
          <w:marTop w:val="58"/>
          <w:marBottom w:val="0"/>
          <w:divBdr>
            <w:top w:val="none" w:sz="0" w:space="0" w:color="auto"/>
            <w:left w:val="none" w:sz="0" w:space="0" w:color="auto"/>
            <w:bottom w:val="none" w:sz="0" w:space="0" w:color="auto"/>
            <w:right w:val="none" w:sz="0" w:space="0" w:color="auto"/>
          </w:divBdr>
        </w:div>
        <w:div w:id="772172446">
          <w:marLeft w:val="547"/>
          <w:marRight w:val="0"/>
          <w:marTop w:val="58"/>
          <w:marBottom w:val="0"/>
          <w:divBdr>
            <w:top w:val="none" w:sz="0" w:space="0" w:color="auto"/>
            <w:left w:val="none" w:sz="0" w:space="0" w:color="auto"/>
            <w:bottom w:val="none" w:sz="0" w:space="0" w:color="auto"/>
            <w:right w:val="none" w:sz="0" w:space="0" w:color="auto"/>
          </w:divBdr>
        </w:div>
        <w:div w:id="1850873968">
          <w:marLeft w:val="547"/>
          <w:marRight w:val="0"/>
          <w:marTop w:val="58"/>
          <w:marBottom w:val="0"/>
          <w:divBdr>
            <w:top w:val="none" w:sz="0" w:space="0" w:color="auto"/>
            <w:left w:val="none" w:sz="0" w:space="0" w:color="auto"/>
            <w:bottom w:val="none" w:sz="0" w:space="0" w:color="auto"/>
            <w:right w:val="none" w:sz="0" w:space="0" w:color="auto"/>
          </w:divBdr>
        </w:div>
        <w:div w:id="1973946596">
          <w:marLeft w:val="547"/>
          <w:marRight w:val="0"/>
          <w:marTop w:val="58"/>
          <w:marBottom w:val="0"/>
          <w:divBdr>
            <w:top w:val="none" w:sz="0" w:space="0" w:color="auto"/>
            <w:left w:val="none" w:sz="0" w:space="0" w:color="auto"/>
            <w:bottom w:val="none" w:sz="0" w:space="0" w:color="auto"/>
            <w:right w:val="none" w:sz="0" w:space="0" w:color="auto"/>
          </w:divBdr>
        </w:div>
      </w:divsChild>
    </w:div>
    <w:div w:id="639967377">
      <w:bodyDiv w:val="1"/>
      <w:marLeft w:val="0"/>
      <w:marRight w:val="0"/>
      <w:marTop w:val="0"/>
      <w:marBottom w:val="0"/>
      <w:divBdr>
        <w:top w:val="none" w:sz="0" w:space="0" w:color="auto"/>
        <w:left w:val="none" w:sz="0" w:space="0" w:color="auto"/>
        <w:bottom w:val="none" w:sz="0" w:space="0" w:color="auto"/>
        <w:right w:val="none" w:sz="0" w:space="0" w:color="auto"/>
      </w:divBdr>
    </w:div>
    <w:div w:id="727265957">
      <w:bodyDiv w:val="1"/>
      <w:marLeft w:val="0"/>
      <w:marRight w:val="0"/>
      <w:marTop w:val="0"/>
      <w:marBottom w:val="0"/>
      <w:divBdr>
        <w:top w:val="none" w:sz="0" w:space="0" w:color="auto"/>
        <w:left w:val="none" w:sz="0" w:space="0" w:color="auto"/>
        <w:bottom w:val="none" w:sz="0" w:space="0" w:color="auto"/>
        <w:right w:val="none" w:sz="0" w:space="0" w:color="auto"/>
      </w:divBdr>
    </w:div>
    <w:div w:id="770736109">
      <w:bodyDiv w:val="1"/>
      <w:marLeft w:val="0"/>
      <w:marRight w:val="0"/>
      <w:marTop w:val="0"/>
      <w:marBottom w:val="0"/>
      <w:divBdr>
        <w:top w:val="none" w:sz="0" w:space="0" w:color="auto"/>
        <w:left w:val="none" w:sz="0" w:space="0" w:color="auto"/>
        <w:bottom w:val="none" w:sz="0" w:space="0" w:color="auto"/>
        <w:right w:val="none" w:sz="0" w:space="0" w:color="auto"/>
      </w:divBdr>
    </w:div>
    <w:div w:id="939684562">
      <w:bodyDiv w:val="1"/>
      <w:marLeft w:val="0"/>
      <w:marRight w:val="0"/>
      <w:marTop w:val="0"/>
      <w:marBottom w:val="0"/>
      <w:divBdr>
        <w:top w:val="none" w:sz="0" w:space="0" w:color="auto"/>
        <w:left w:val="none" w:sz="0" w:space="0" w:color="auto"/>
        <w:bottom w:val="none" w:sz="0" w:space="0" w:color="auto"/>
        <w:right w:val="none" w:sz="0" w:space="0" w:color="auto"/>
      </w:divBdr>
    </w:div>
    <w:div w:id="1317800450">
      <w:bodyDiv w:val="1"/>
      <w:marLeft w:val="0"/>
      <w:marRight w:val="0"/>
      <w:marTop w:val="0"/>
      <w:marBottom w:val="0"/>
      <w:divBdr>
        <w:top w:val="none" w:sz="0" w:space="0" w:color="auto"/>
        <w:left w:val="none" w:sz="0" w:space="0" w:color="auto"/>
        <w:bottom w:val="none" w:sz="0" w:space="0" w:color="auto"/>
        <w:right w:val="none" w:sz="0" w:space="0" w:color="auto"/>
      </w:divBdr>
    </w:div>
    <w:div w:id="1558936370">
      <w:bodyDiv w:val="1"/>
      <w:marLeft w:val="0"/>
      <w:marRight w:val="0"/>
      <w:marTop w:val="0"/>
      <w:marBottom w:val="0"/>
      <w:divBdr>
        <w:top w:val="none" w:sz="0" w:space="0" w:color="auto"/>
        <w:left w:val="none" w:sz="0" w:space="0" w:color="auto"/>
        <w:bottom w:val="none" w:sz="0" w:space="0" w:color="auto"/>
        <w:right w:val="none" w:sz="0" w:space="0" w:color="auto"/>
      </w:divBdr>
    </w:div>
    <w:div w:id="1569345264">
      <w:bodyDiv w:val="1"/>
      <w:marLeft w:val="0"/>
      <w:marRight w:val="0"/>
      <w:marTop w:val="0"/>
      <w:marBottom w:val="0"/>
      <w:divBdr>
        <w:top w:val="none" w:sz="0" w:space="0" w:color="auto"/>
        <w:left w:val="none" w:sz="0" w:space="0" w:color="auto"/>
        <w:bottom w:val="none" w:sz="0" w:space="0" w:color="auto"/>
        <w:right w:val="none" w:sz="0" w:space="0" w:color="auto"/>
      </w:divBdr>
    </w:div>
    <w:div w:id="18661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D0B5EBE6FBA4386267E44C1915B3E" ma:contentTypeVersion="5" ma:contentTypeDescription="Create a new document." ma:contentTypeScope="" ma:versionID="86e0e7a42816cea3544ccf391d9ae4ec">
  <xsd:schema xmlns:xsd="http://www.w3.org/2001/XMLSchema" xmlns:xs="http://www.w3.org/2001/XMLSchema" xmlns:p="http://schemas.microsoft.com/office/2006/metadata/properties" xmlns:ns2="f97bcfd9-eee9-4b50-8430-bb265ff25d0f" xmlns:ns3="339e2096-1cad-492d-804d-9abc973e09ce" targetNamespace="http://schemas.microsoft.com/office/2006/metadata/properties" ma:root="true" ma:fieldsID="c834ac0fc0e81cdae7d2cb53fb2453fd" ns2:_="" ns3:_="">
    <xsd:import namespace="f97bcfd9-eee9-4b50-8430-bb265ff25d0f"/>
    <xsd:import namespace="339e2096-1cad-492d-804d-9abc973e09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cfd9-eee9-4b50-8430-bb265ff25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339e2096-1cad-492d-804d-9abc973e09ce">
      <UserInfo>
        <DisplayName>Justin Phillips (Anti Fraud)</DisplayName>
        <AccountId>13</AccountId>
        <AccountType/>
      </UserInfo>
    </SharedWithUsers>
  </documentManagement>
</p:properties>
</file>

<file path=customXml/itemProps1.xml><?xml version="1.0" encoding="utf-8"?>
<ds:datastoreItem xmlns:ds="http://schemas.openxmlformats.org/officeDocument/2006/customXml" ds:itemID="{08F256C4-D3E7-424B-B700-F27AF32164E4}">
  <ds:schemaRefs>
    <ds:schemaRef ds:uri="http://schemas.microsoft.com/sharepoint/v3/contenttype/forms"/>
  </ds:schemaRefs>
</ds:datastoreItem>
</file>

<file path=customXml/itemProps2.xml><?xml version="1.0" encoding="utf-8"?>
<ds:datastoreItem xmlns:ds="http://schemas.openxmlformats.org/officeDocument/2006/customXml" ds:itemID="{843EA449-0D59-41FE-9CC1-EDAA61C09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cfd9-eee9-4b50-8430-bb265ff25d0f"/>
    <ds:schemaRef ds:uri="339e2096-1cad-492d-804d-9abc973e0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FCC32-32AA-4BA7-BC7C-F393CBCAB12E}">
  <ds:schemaRefs>
    <ds:schemaRef ds:uri="http://schemas.openxmlformats.org/officeDocument/2006/bibliography"/>
  </ds:schemaRefs>
</ds:datastoreItem>
</file>

<file path=customXml/itemProps4.xml><?xml version="1.0" encoding="utf-8"?>
<ds:datastoreItem xmlns:ds="http://schemas.openxmlformats.org/officeDocument/2006/customXml" ds:itemID="{F788E8AF-7E57-4EF7-91E1-3DC3DB15C8FC}">
  <ds:schemaRefs>
    <ds:schemaRef ds:uri="http://purl.org/dc/terms/"/>
    <ds:schemaRef ds:uri="http://schemas.openxmlformats.org/package/2006/metadata/core-properties"/>
    <ds:schemaRef ds:uri="339e2096-1cad-492d-804d-9abc973e09ce"/>
    <ds:schemaRef ds:uri="http://schemas.microsoft.com/office/2006/documentManagement/types"/>
    <ds:schemaRef ds:uri="http://schemas.microsoft.com/office/infopath/2007/PartnerControls"/>
    <ds:schemaRef ds:uri="http://purl.org/dc/elements/1.1/"/>
    <ds:schemaRef ds:uri="http://schemas.microsoft.com/office/2006/metadata/properties"/>
    <ds:schemaRef ds:uri="f97bcfd9-eee9-4b50-8430-bb265ff25d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Phillips (Anti Fraud)</dc:creator>
  <cp:keywords/>
  <cp:lastModifiedBy>Arun Birah</cp:lastModifiedBy>
  <cp:revision>3</cp:revision>
  <cp:lastPrinted>2019-01-16T15:29:00Z</cp:lastPrinted>
  <dcterms:created xsi:type="dcterms:W3CDTF">2023-09-06T16:36:00Z</dcterms:created>
  <dcterms:modified xsi:type="dcterms:W3CDTF">2023-09-08T13:07:00Z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0x010100E98D0B5EBE6FBA4386267E44C1915B3E</vt:lpwstr>
  </property>
</Properties>
</file>